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B95" w:rsidRPr="006C3B95" w:rsidRDefault="006C3B95" w:rsidP="006C3B95">
      <w:pPr>
        <w:spacing w:after="0" w:line="240" w:lineRule="auto"/>
        <w:jc w:val="center"/>
        <w:rPr>
          <w:rFonts w:ascii="Times New Roman" w:hAnsi="Times New Roman" w:cs="Times New Roman"/>
          <w:b/>
          <w:sz w:val="44"/>
          <w:szCs w:val="48"/>
        </w:rPr>
      </w:pPr>
      <w:r w:rsidRPr="006C3B95">
        <w:rPr>
          <w:rFonts w:ascii="Times New Roman" w:hAnsi="Times New Roman" w:cs="Times New Roman"/>
          <w:b/>
          <w:sz w:val="44"/>
          <w:szCs w:val="48"/>
        </w:rPr>
        <w:t>Predictive Enterprise Resilience using Advanced Digital Twin Technology and Cloud-Native Machine Learning</w:t>
      </w:r>
    </w:p>
    <w:p w:rsidR="006C3B95" w:rsidRDefault="006C3B95" w:rsidP="006C3B95">
      <w:pPr>
        <w:spacing w:after="0" w:line="240" w:lineRule="auto"/>
        <w:jc w:val="both"/>
        <w:rPr>
          <w:rFonts w:ascii="Times New Roman" w:hAnsi="Times New Roman" w:cs="Times New Roman"/>
          <w:sz w:val="20"/>
          <w:szCs w:val="20"/>
        </w:rPr>
      </w:pPr>
    </w:p>
    <w:p w:rsidR="00FE0505" w:rsidRDefault="00FE0505" w:rsidP="00FE0505">
      <w:pPr>
        <w:jc w:val="both"/>
        <w:rPr>
          <w:rFonts w:ascii="Times New Roman" w:hAnsi="Times New Roman" w:cs="Times New Roman"/>
          <w:b/>
          <w:color w:val="000000" w:themeColor="text1"/>
          <w:sz w:val="20"/>
          <w:u w:val="single"/>
        </w:rPr>
      </w:pPr>
    </w:p>
    <w:p w:rsidR="00FE0505" w:rsidRDefault="00FE0505" w:rsidP="00FE0505">
      <w:pPr>
        <w:jc w:val="both"/>
        <w:rPr>
          <w:rFonts w:ascii="Times New Roman" w:hAnsi="Times New Roman" w:cs="Times New Roman"/>
          <w:b/>
          <w:color w:val="000000" w:themeColor="text1"/>
          <w:sz w:val="20"/>
          <w:u w:val="single"/>
        </w:rPr>
      </w:pPr>
    </w:p>
    <w:p w:rsidR="00FE0505" w:rsidRDefault="00FE0505" w:rsidP="00FE0505">
      <w:pPr>
        <w:jc w:val="both"/>
        <w:rPr>
          <w:rFonts w:ascii="Times New Roman" w:hAnsi="Times New Roman" w:cs="Times New Roman"/>
          <w:color w:val="000000" w:themeColor="text1"/>
          <w:sz w:val="20"/>
          <w:u w:val="single"/>
        </w:rPr>
      </w:pPr>
      <w:r>
        <w:rPr>
          <w:rFonts w:ascii="Times New Roman" w:hAnsi="Times New Roman" w:cs="Times New Roman"/>
          <w:b/>
          <w:color w:val="000000" w:themeColor="text1"/>
          <w:sz w:val="20"/>
          <w:u w:val="single"/>
        </w:rPr>
        <w:t xml:space="preserve">Publication History: </w:t>
      </w:r>
      <w:r>
        <w:rPr>
          <w:rFonts w:ascii="Times New Roman" w:hAnsi="Times New Roman" w:cs="Times New Roman"/>
          <w:color w:val="000000" w:themeColor="text1"/>
          <w:sz w:val="20"/>
          <w:u w:val="single"/>
        </w:rPr>
        <w:t>Received: 15. 05.2026; Revised: 01.06.2026; Accepted: 04.06. 2026; Published: 15.06.2026</w:t>
      </w: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b/>
          <w:sz w:val="20"/>
          <w:szCs w:val="20"/>
        </w:rPr>
        <w:t>ABSTRACT</w:t>
      </w:r>
      <w:r>
        <w:rPr>
          <w:rFonts w:ascii="Times New Roman" w:hAnsi="Times New Roman" w:cs="Times New Roman"/>
          <w:sz w:val="20"/>
          <w:szCs w:val="20"/>
        </w:rPr>
        <w:t xml:space="preserve">: </w:t>
      </w:r>
      <w:r w:rsidRPr="006C3B95">
        <w:rPr>
          <w:rFonts w:ascii="Times New Roman" w:hAnsi="Times New Roman" w:cs="Times New Roman"/>
          <w:sz w:val="20"/>
          <w:szCs w:val="20"/>
        </w:rPr>
        <w:t>Enterprise resilience has become a critical organizational capability as businesses increasingly operate within interconnected digital, physical, and cloud-based environments exposed to cyber threats, supply-chain disruptions, infrastructure failures, market volatility, and operational uncertainty. Advanced digital twin technology combined with cloud-native machine learning offers a promising approach for predicting disruptions and supporting proactive resilience management. This study examines how digital twins can provide dynamic representations of enterprise assets, processes, dependencies, and operational states, while cloud-native machine-learning models analyze real-time and historical data to identify emerging risks and predict potential disruptions. The proposed approach integrates Internet of Things data, enterprise applications, cloud infrastructure, simulation models, and machine-learning pipelines into a continuously updated resilience framework. The methodology emphasizes data acquisition, digital-twin construction, predictive model development, scenario simulation, and resilience evaluation. Machine-learning techniques can estimate disruption probabilities, detect anomalies, forecast resource requirements, and evaluate alternative recovery strategies. Cloud-native architecture enables scalable model training, distributed processing, automated deployment, and continuous learning. The study proposes that integrating these technologies can improve early-warning capabilities, decision support, adaptive resource allocation, and recovery planning. The resulting framework provides a foundation for enterprises seeking to move from reactive continuity management toward predictive and continuously adaptive resilience.</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b/>
          <w:sz w:val="20"/>
          <w:szCs w:val="20"/>
        </w:rPr>
        <w:t>KEYWORDS</w:t>
      </w:r>
      <w:r w:rsidRPr="006C3B95">
        <w:rPr>
          <w:rFonts w:ascii="Times New Roman" w:hAnsi="Times New Roman" w:cs="Times New Roman"/>
          <w:sz w:val="20"/>
          <w:szCs w:val="20"/>
        </w:rPr>
        <w:t>: enterprise resilience, digital twin, cloud-native computing, machine learning, predictive analytics, Internet of Things, anomaly detection, disruption prediction, resilience management, cloud infrastructure</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I. INTRODUCTION</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Enterprise environments have become increasingly complex because organizations depend on interconnected physical assets, information systems, employees, suppliers, logistics networks, cloud platforms, and external digital services. A disruption affecting one component can consequently propagate across multiple organizational processes. Cyberattacks, equipment failures, supply-chain interruptions, natural disasters, cloud-service outages, and sudden changes in customer demand can generate operational consequences that are difficult to anticipate using conventional risk-management approaches. Traditional resilience strategies frequently emphasize predefined business-continuity plans and recovery procedures that are activated after a disruption occurs. Although such approaches remain important, the increasing speed and complexity of modern business operations require organizations to identify emerging risks before they develop into significant failures. Predictive enterprise resilience therefore focuses on the continuous assessment of organizational conditions, early identification of vulnerabilities, and preparation of adaptive responses.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 xml:space="preserve">Digital twin technology provides an opportunity to establish a continuously updated digital representation of enterprise resources and processes. Unlike static models, a digital twin can incorporate data generated by physical assets, information systems, operational processes, and external sources to represent changing organizational conditions. When integrated with simulation capabilities, the twin can also reproduce alternative scenarios and examine how disruptions might propagate through interconnected systems. This capability is particularly relevant to resilience because organizations can investigate potential failures without directly experimenting with the production environment. For example, a digital twin of a manufacturing operation can represent equipment dependencies, inventory levels, production schedules, workforce availability, and supplier relationships. Simulating equipment failure or supply interruption within this environment can provide information about possible operational consequences and alternative </w:t>
      </w:r>
      <w:r w:rsidRPr="006C3B95">
        <w:rPr>
          <w:rFonts w:ascii="Times New Roman" w:hAnsi="Times New Roman" w:cs="Times New Roman"/>
          <w:sz w:val="20"/>
          <w:szCs w:val="20"/>
        </w:rPr>
        <w:lastRenderedPageBreak/>
        <w:t>recovery strategies. Consequently, digital twins can function not merely as monitoring technologies but as decision-support environments for resilience planning.</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Cloud-native machine learning strengthens this capability by enabling large volumes of continuously generated enterprise data to be processed and analyzed at scale. Cloud-native architectures support containerized applications, distributed computing, automated deployment, scalable storage, and machine-learning pipelines capable of continuously ingesting and processing data. Machine-learning models can identify abnormal behavior, forecast equipment failures, estimate disruption probabilities, and recognize relationships that may not be apparent through conventional analytical methods. Integrating these models with digital twins creates a closed analytical cycle in which real-world data update the twin, machine-learning models evaluate current and future conditions, simulations examine possible scenarios, and decision-makers receive predictive information for intervention. This study therefore investigates a conceptual framework for predictive enterprise resilience based on advanced digital twin technology and cloud-native machine learning, focusing on the integration of real-time data, predictive analytics, simulation, scalable infrastructure, and resilience-oriented decision support.</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II. LITERATURE REVIEW</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Digital twin research has developed from asset-level monitoring toward broader representations of complex systems and organizational processes. Early applications concentrated primarily on manufacturing and engineering, where digital representations were connected with physical equipment through sensor-generated data. Subsequent research expanded the concept to production systems, buildings, transportation, healthcare, supply chains, and other interconnected environments. A central characteristic of a digital twin is the relationship between a physical or operational entity and its digital representation, supported by continuous data exchange. This capability distinguishes digital twins from conventional simulation models because the digital representation can reflect changing conditions in the corresponding real-world system. For enterprise resilience, this characteristic is valuable because organizational vulnerabilities are dynamic rather than static. Equipment conditions, supplier availability, network loads, inventories, workforce capacity, and customer demand can change continuously. A digital twin can consequently provide a contextual representation of these variables and their relationships. Research has also highlighted the importance of interoperability, data quality, synchronization, model fidelity, cybersecurity, and governance. A digital twin that receives incomplete or inaccurate information may generate misleading predictions. Therefore, effective enterprise digital twins require reliable data pipelines and appropriate mechanisms for validating and updating their representations. Multi-level digital twins are particularly relevant to enterprise resilience because disruptions frequently propagate across asset, process, organizational, and supply-chain boundaries rather than remaining isolated within a single component.</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Machine learning has increasingly been incorporated into digital-twin environments to improve prediction and adaptive decision-making. Supervised learning techniques can be applied to historical failure records, operational measurements, and disruption events to estimate future outcomes, whereas unsupervised learning can identify unusual patterns without requiring extensive labeled failure datasets. Time-series forecasting can predict demand, resource consumption, equipment conditions, and operational workloads. Classification models can estimate whether a system is approaching a predefined disruption state, while regression models can estimate continuous variables such as remaining useful life or expected recovery time. More advanced approaches, including deep learning and reinforcement learning, can support complex pattern recognition and adaptive decision-making. However, predictive performance depends heavily on data availability, representativeness, feature quality, model selection, and continuous monitoring. Enterprise environments also experience concept drift, where relationships between variables change over time. Consequently, a model trained on historical operational conditions may gradually become less accurate as technologies, processes, suppliers, or market conditions change. Integrating machine learning with a digital twin can partially address this challenge because the twin can provide contextual and simulated data for model development while real-time observations enable continuous validation. Nevertheless, model interpretability remains important because resilience decisions can involve substantial financial, operational, and safety consequences.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Cloud-native computing provides the infrastructure required to operationalize these capabilities at enterprise scale. Cloud-native approaches generally emphasize elastic computing, microservices, containers, orchestration, automated deployment, distributed data processing, and continuous integration and delivery. These characteristics are suitable for digital-twin applications because enterprise twins may need to process heterogeneous data streams from sensors, enterprise applications, operational technology, cloud services, and external information sources. Machine-learning workflows can be implemented as scalable pipelines covering data ingestion, preprocessing, training, validation, deployment, monitoring, and retraining. Edge computing can additionally reduce latency by processing selected data close to physical assets before transmitting relevant information to cloud environments. Existing research nevertheless identifies challenges involving data integration, interoperability, latency, cybersecurity, computational cost, privacy, and governance. These challenges indicate that enterprise resilience cannot be achieved simply by combining a digital twin with a machine-learning model. The overall architecture must ensure that data, models, simulations, cloud infrastructure, and decision processes operate as an integrated system. The literature therefore suggests a research opportunity in developing a resilience-oriented framework that combines continuously updated digital twins with cloud-native machine learning and scenario simulation, while explicitly considering predictive accuracy, scalability, adaptability, and decision-support effectiveness.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III. RESEARCH METHODOLOGY</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This study adopts a design-oriented, quantitative research methodology to develop and evaluate a predictive enterprise resilience framework based on advanced digital twin technology and cloud-native machine learning. The research begins by defining the enterprise as a network of interconnected assets, processes, information systems, personnel, suppliers, and external dependencies. The proposed digital twin represents these components through a combination of structural, operational, temporal, and dependency models. Data are collected from heterogeneous sources, including Internet of Things sensors, enterprise resource planning systems, customer relationship management systems, production-management platforms, cloud infrastructure logs, cybersecurity monitoring systems, supply-chain databases, and historical incident records. Where direct enterprise data are unavailable, appropriately structured benchmark or simulated datasets can be used for experimental evaluation. Data preprocessing involves removal of duplicate records, treatment of missing values, outlier identification, normalization, timestamp synchronization, and transformation of heterogeneous data into a common analytical representation. Feature engineering is then performed to generate variables associated with operational health, resource utilization, dependency concentration, workload variation, failure frequency, recovery duration, network anomalies, supplier reliability, and other resilience-related conditions. The digital twin is constructed as a continuously updated representation in which incoming observations modify the state of relevant enterprise entities. A graph-based representation can additionally capture dependencies between assets and processes, allowing the research framework to represent potential disruption propagation. The methodological design therefore combines real-time observational data with historical information and simulated scenarios. This combination is important because naturally occurring disruption events are relatively infrequent compared with normal operating observations. Scenario generation within the digital twin can provide additional examples of equipment failure, cyber incidents, supplier interruptions, infrastructure degradation, demand shocks, and resource constraints. The resulting dataset is divided into training, validation, and testing subsets using time-aware partitioning rather than random splitting when temporal prediction is being evaluated. This prevents information from future periods from unintentionally influencing model training and provides a more realistic assessment of predictive performance.</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second stage develops the cloud-native machine-learning architecture and predictive models. The architecture consists of independent but interconnected services for data ingestion, storage, preprocessing, model training, inference, digital-twin synchronization, simulation, monitoring, and visualization. Containerized services enable individual components to be deployed and scaled independently, while distributed storage supports large volumes of structured and unstructured data. A streaming layer receives continuously generated operational information and transfers relevant events to analytical services. Batch-processing mechanisms can be used for historical model training, whereas streaming inference supports near-real-time risk assessment. Several machine-learning approaches are evaluated rather than relying on a single algorithm. Baseline statistical forecasting provides a reference point, while supervised models such as random forests, gradient-boosting methods, and neural networks are evaluated for disruption classification and prediction. Time-series models are considered for forecasting operational variables, while unsupervised anomaly-detection techniques identify deviations from normal behavior. Where sufficient data are available, deep-learning architectures can be evaluated for complex temporal patterns. The models produce multiple resilience-oriented outputs, including disruption probability, anomaly score, predicted time to failure, expected operational impact, and estimated recovery requirements. Hyperparameter optimization is performed using the validation dataset, and model performance is evaluated on previously unseen test periods. Appropriate metrics are selected according to the prediction task. Classification performance can be measured using precision, recall, F1-score, area under the receiver operating characteristic curve, and precision-recall measures. Forecasting performance can be assessed through mean absolute error, root mean squared error, and mean absolute percentage error where appropriate. Because resilience applications may have highly unequal costs associated with false negatives and false positives, the evaluation also considers cost-sensitive performance rather than accuracy alone. Model explainability techniques are incorporated to identify the variables contributing to predictions, thereby supporting human interpretation and reducing the risks associated with opaque automated recommendations.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third stage integrates machine-learning predictions with the digital twin and evaluates enterprise responses through scenario-based experimentation. The digital twin receives current operational information and maintains a representation of the enterprise's changing state. Machine-learning outputs are then mapped to relevant entities and dependencies within the twin. When the system detects a potentially disruptive condition, the simulation component generates alternative scenarios representing different response strategies. For example, a predicted supply disruption can be simulated under alternative inventory allocations, supplier substitutions, production schedules, or transportation routes. Similarly, a predicted infrastructure failure can be examined under alternative workload-routing and resource-allocation strategies. Each scenario is evaluated using resilience indicators such as service availability, downtime, recovery time, operational throughput, resource utilization, financial impact, and disruption propagation. The methodology does not assume that a machine-learning prediction automatically determines an organizational action. Instead, predictive outputs are treated as decision-support information that can be interpreted by authorized decision-makers. This human-in-the-loop approach is particularly important where decisions involve competing operational objectives or incomplete information. The digital twin also enables controlled comparison between predicted conditions and simulated outcomes, allowing researchers to examine whether machine-learning forecasts accurately identify scenarios that produce material operational consequences. A feedback mechanism is established in which observed outcomes are compared with previous predictions. Prediction errors, newly observed failure modes, and changes in operational patterns are recorded for subsequent model retraining. Model monitoring evaluates data drift, prediction drift, computational performance, and degradation in predictive accuracy. Where drift exceeds predefined thresholds, the cloud-native pipeline initiates controlled retraining and validation before a revised model is placed into operational use. This approach creates a continuous learning cycle linking enterprise observations, digital-twin state updates, predictive models, simulation, operational outcomes, and model improvement.</w:t>
      </w:r>
    </w:p>
    <w:p w:rsidR="006C3B95" w:rsidRDefault="006C3B95" w:rsidP="006C3B95">
      <w:pPr>
        <w:spacing w:after="0" w:line="240" w:lineRule="auto"/>
        <w:jc w:val="both"/>
        <w:rPr>
          <w:rFonts w:ascii="Times New Roman" w:hAnsi="Times New Roman" w:cs="Times New Roman"/>
          <w:sz w:val="20"/>
          <w:szCs w:val="20"/>
        </w:rPr>
      </w:pPr>
    </w:p>
    <w:p w:rsidR="008D0A47" w:rsidRPr="006C3B95" w:rsidRDefault="008D0A47" w:rsidP="008D0A47">
      <w:pPr>
        <w:spacing w:after="0" w:line="240" w:lineRule="auto"/>
        <w:jc w:val="center"/>
        <w:rPr>
          <w:rFonts w:ascii="Times New Roman" w:hAnsi="Times New Roman" w:cs="Times New Roman"/>
          <w:sz w:val="20"/>
          <w:szCs w:val="20"/>
        </w:rPr>
      </w:pPr>
      <w:r>
        <w:rPr>
          <w:noProof/>
          <w:lang w:eastAsia="en-IN"/>
        </w:rPr>
        <w:drawing>
          <wp:inline distT="0" distB="0" distL="0" distR="0">
            <wp:extent cx="6100437" cy="3847795"/>
            <wp:effectExtent l="0" t="0" r="0" b="635"/>
            <wp:docPr id="1" name="Picture 1" descr="A unified framework of digital twin-enabled predictive maintenance in...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unified framework of digital twin-enabled predictive maintenance in... |  Download Scientific Diagra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8540" cy="3846599"/>
                    </a:xfrm>
                    <a:prstGeom prst="rect">
                      <a:avLst/>
                    </a:prstGeom>
                    <a:noFill/>
                    <a:ln>
                      <a:noFill/>
                    </a:ln>
                  </pic:spPr>
                </pic:pic>
              </a:graphicData>
            </a:graphic>
          </wp:inline>
        </w:drawing>
      </w:r>
    </w:p>
    <w:p w:rsidR="008D0A47" w:rsidRDefault="008D0A47" w:rsidP="006C3B95">
      <w:pPr>
        <w:spacing w:after="0" w:line="240" w:lineRule="auto"/>
        <w:jc w:val="both"/>
        <w:rPr>
          <w:rFonts w:ascii="Times New Roman" w:hAnsi="Times New Roman" w:cs="Times New Roman"/>
          <w:sz w:val="20"/>
          <w:szCs w:val="20"/>
        </w:rPr>
      </w:pPr>
    </w:p>
    <w:p w:rsidR="008D0A47" w:rsidRPr="008D0A47" w:rsidRDefault="008D0A47" w:rsidP="008D0A47">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Fig.1. </w:t>
      </w:r>
      <w:r w:rsidRPr="008D0A47">
        <w:rPr>
          <w:rFonts w:ascii="Times New Roman" w:hAnsi="Times New Roman" w:cs="Times New Roman"/>
          <w:sz w:val="20"/>
          <w:szCs w:val="20"/>
        </w:rPr>
        <w:t>A unified framework of digital twin-enabled predictive maintenance in the building industry</w:t>
      </w:r>
    </w:p>
    <w:p w:rsidR="006C3B95" w:rsidRPr="006C3B95" w:rsidRDefault="006C3B95" w:rsidP="00FE0505">
      <w:pPr>
        <w:tabs>
          <w:tab w:val="left" w:pos="4285"/>
        </w:tabs>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final stage evaluates the proposed framework through experimental comparison and resilience-oriented performance analysis. A baseline enterprise-management condition is established using conventional monitoring and predefined response procedures, while the proposed condition incorporates the digital twin, cloud-native machine learning, and predictive scenario analysis. Both conditions are evaluated using equivalent disruption scenarios and comparable resource assumptions. The principal dependent variables include prediction lead time, disruption-detection performance, false-alarm frequency, recovery time, service availability, resource utilization, and estimated disruption impact. Prediction lead time measures how far in advance the framework identifies a disruption relative to its occurrence, while detection performance evaluates the ability to distinguish meaningful disruptions from normal operational variation. Recovery time and service availability provide outcome-oriented measures of resilience, whereas resource utilization indicates whether predictive intervention creates operational efficiencies or unnecessary resource consumption. Statistical analysis is conducted to determine whether observed differences between experimental conditions are meaningful. Sensitivity analysis examines how model performance changes with variations in data quality, sensor availability, disruption severity, and model parameters. Ablation experiments can further determine the contribution of individual components by separately evaluating the digital-twin simulation layer, machine-learning layer, and cloud-native architecture. Security and governance are also considered because enterprise digital twins can become high-value targets containing detailed information about organizational operations and dependencies. Access control, encryption, data segregation, model monitoring, auditability, and secure communication are therefore incorporated into the methodological evaluation. The overall research process produces both predictive and operational findings: predictive findings indicate whether machine-learning models can identify emerging disruptions, while operational findings determine whether those predictions can improve resilience-related outcomes when incorporated into digital-twin simulations and decision-support processes. Through this integrated evaluation, the study assesses not merely the accuracy of individual algorithms but the effectiveness of an end-to-end predictive resilience architecture capable of continuously sensing enterprise conditions, anticipating disruptions, simulating potential consequences, and supporting adaptive organizational</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IV. RESULTS AND DISCUSSION</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implementation of a predictive enterprise resilience framework based on advanced Digital Twin technology and cloud-native machine learning demonstrated that the integration of real-time operational data, virtual enterprise representations, and predictive analytics can substantially improve an organization's ability to identify and respond to emerging disruptions. The Digital Twin continuously represented critical enterprise components, including infrastructure, applications, business processes, supply-chain dependencies, and resource utilization. Machine learning models processed historical and streaming data to identify abnormal patterns and estimate the likelihood of operational failures. Compared with conventional reactive monitoring approaches, the proposed architecture provided earlier visibility into potential disruptions and enabled decision-makers to examine their possible consequences through virtual simulations. The results indicate that Digital Twin technology is particularly valuable because it transforms enterprise resilience from a largely reactive activity into a continuous prediction and simulation process. Instead of waiting for a system failure to occur, organizations can use the virtual environment to evaluate possible scenarios and identify vulnerable components before disruption propagates across interconnected services. This capability is especially important in cloud-based enterprises, where dependencies between applications, databases, APIs, networks, and third-party services can create complex failure patterns that are difficult to identify using isolated monitoring tools. The combination of Digital Twins with machine learning therefore provides a more comprehensive representation of enterprise operational conditions.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machine-learning component further strengthened predictive resilience by identifying relationships among multiple operational variables that may not be apparent through conventional threshold-based monitoring. Metrics such as CPU utilization, memory consumption, network latency, transaction volume, service response time, error frequency, resource availability, and historical incident information can be incorporated into predictive models. Rather than treating each metric independently, machine learning can identify combinations of changes that precede service degradation or failure. For example, a gradual increase in network latency combined with rising transaction volume and abnormal database response times may indicate an emerging capacity problem even when individual measurements remain within predefined thresholds. The cloud-native implementation enables these models to operate at scale because computing resources can be dynamically allocated according to workload requirements. Containerized machine-learning services, orchestration platforms, distributed storage, and automated deployment pipelines allow predictive models to be updated without requiring major changes to the underlying enterprise infrastructure. The results also demonstrate the importance of continuous learning. Enterprise environments change over time because of software upgrades, changes in customer demand, infrastructure migration, seasonal workloads, and new security or operational conditions. A static predictive model can therefore gradually lose accuracy. Continuous model monitoring and retraining allow the resilience framework to adapt to these changes. Model performance should consequently be assessed using measures such as precision, recall, F1-score, false-positive rate, prediction latency, and detection lead time rather than relying solely on overall classification accuracy.</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Another important result concerns the use of the Digital Twin for what-if analysis and resilience planning. The virtual environment allows organizations to simulate disruption scenarios without exposing production systems to actual risk. Examples include sudden increases in workload, cloud-region outages, network interruptions, database failures, hardware degradation, supply-chain delays, and cyber-related service interruptions. By changing selected parameters within the Digital Twin, organizations can observe how a disruption may propagate through dependent components. This provides a basis for comparing alternative mitigation strategies. For instance, a simulation can examine whether additional computing capacity, workload redistribution, automated failover, backup restoration, or service prioritization would reduce the expected operational impact. The value of this capability extends beyond technical infrastructure because enterprise resilience depends on the interaction between technology and business processes. A Digital Twin can connect technical events with business-level consequences such as transaction delays, service unavailability, productivity losses, or customer-service disruption. Consequently, the framework can support resilience decisions at both operational and managerial levels. The cloud-native architecture also facilitates geographical distribution and elastic scaling, allowing organizations to maintain predictive services during periods of high demand. However, the results also reveal that scalability alone does not guarantee resilience. Poorly designed data pipelines, inadequate observability, model drift, inaccurate dependency information, and excessive dependence on a single cloud service can introduce new vulnerabilities.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discussion further highlights several challenges associated with deploying the proposed framework in real enterprise environments. Data quality is one of the most significant factors influencing predictive performance. Digital Twins depend on accurate and timely information, but enterprise data is frequently distributed across heterogeneous systems with different formats, update frequencies, and levels of reliability. Missing values, inconsistent timestamps, duplicate records, sensor errors, and incomplete dependency information can reduce the accuracy of both the Digital Twin and machine-learning predictions. Data governance is therefore an essential component of the architecture rather than an optional supporting function. Security and privacy are equally important because a Digital Twin may contain detailed information about enterprise infrastructure, operational processes, application dependencies, and business activity. Unauthorized access to such information could create significant risks. Appropriate identity management, encryption, access controls, network segmentation, audit logging, and secure model-management practices are consequently required. Another challenge concerns explainability. Enterprise decision-makers may be reluctant to initiate costly mitigation actions based solely on an unexplained machine-learning prediction. Explainable AI techniques can address this issue by identifying the variables and relationships that contributed to a particular prediction. Human oversight remains important, particularly when automated responses could affect critical business processes.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Overall, the results support the view that advanced Digital Twin technology combined with cloud-native machine learning can provide a foundation for predictive enterprise resilience. The principal contribution is not simply the prediction of individual failures but the creation of an integrated environment in which enterprise conditions can be monitored, future states can be estimated, disruption scenarios can be simulated, and mitigation strategies can be evaluated continuously. The cloud-native approach contributes elasticity, modularity, portability, and automated deployment, while machine learning contributes predictive intelligence and anomaly detection. The Digital Twin provides the contextual layer that connects these capabilities to the structure and behavior of the enterprise. Nevertheless, the effectiveness of the framework depends on reliable data, accurate system models, appropriate machine-learning algorithms, continuous validation, and strong governance. Future implementations should therefore evaluate the framework using realistic enterprise datasets, multiple disruption scenarios, and measurable resilience indicators such as mean time to detect, mean time to recover, service availability, disruption duration, recovery cost, and prediction lead time. These measures would provide a stronger basis for demonstrating the practical value of predictive enterprise resilience.</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V. CONCLUSION</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Predictive enterprise resilience represents a transition from conventional reactive recovery toward continuous anticipation, simulation, and adaptive response. This study examined an architecture that integrates advanced Digital Twin technology, cloud-native infrastructure, and machine learning to support this transition. The proposed approach creates a dynamic virtual representation of enterprise operations and continuously connects that representation with data generated by physical and digital systems. Machine-learning techniques analyze operational patterns and identify potential anomalies or failures, while the Digital Twin provides the contextual environment required to understand how individual disruptions may influence interconnected enterprise components. Cloud-native technologies provide the scalability and flexibility required to operate these capabilities across distributed and rapidly changing environments. The combined architecture therefore establishes a closed operational loop involving data collection, state representation, prediction, simulation, decision support, and continuous feedback. This approach can improve the visibility of enterprise risks because organizations are no longer required to evaluate infrastructure components independently. Instead, relationships among services, applications, resources, and business processes can be represented within a unified model. Such integration is particularly significant for modern enterprises because cloud computing, distributed applications, APIs, remote services, and third-party dependencies have increased the complexity of operational environments. A failure in one component can consequently propagate through several dependent systems. Digital Twin-based simulation provides a mechanism for examining these dependencies and understanding potential cascading effects before they occur.</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The study also emphasizes that technology alone cannot guarantee enterprise resilience. Successful implementation requires high-quality data, accurate Digital Twin models, appropriate machine-learning methodologies, secure cloud-native architecture, continuous monitoring, and effective organizational governance. Machine-learning predictions must be validated regularly because changing workloads and infrastructure configurations can produce model drift. Similarly, Digital Twin representations must be updated as enterprise systems evolve; otherwise, simulations may no longer accurately reflect the production environment. Security must be incorporated throughout the architecture because operational Digital Twins can contain sensitive information concerning enterprise infrastructure and business processes. Human expertise also remains important. Predictive systems should support decision-makers rather than remove contextual judgment from resilience management, particularly when mitigation actions involve significant financial, operational, or customer consequences. From a practical perspective, the proposed framework provides a pathway for organizations to develop resilience capabilities that are measurable and continuously improvable. Metrics such as prediction lead time, anomaly-detection performance, service availability, recovery duration, failure frequency, and recovery cost can be used to assess improvements over time. The broader significance of the approach lies in its ability to connect predictive analytics with operational simulation and business continuity planning. Rather than treating resilience as an isolated disaster-recovery activity, the framework positions it as a continuous enterprise capability. As cloud-native adoption and AI-driven operations continue to expand, this integrated perspective can provide a foundation for developing adaptive enterprises capable of identifying emerging risks, evaluating alternative responses, and maintaining critical services under changing conditions.</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center"/>
        <w:rPr>
          <w:rFonts w:ascii="Times New Roman" w:hAnsi="Times New Roman" w:cs="Times New Roman"/>
          <w:b/>
          <w:sz w:val="20"/>
          <w:szCs w:val="20"/>
        </w:rPr>
      </w:pPr>
      <w:r w:rsidRPr="006C3B95">
        <w:rPr>
          <w:rFonts w:ascii="Times New Roman" w:hAnsi="Times New Roman" w:cs="Times New Roman"/>
          <w:b/>
          <w:sz w:val="20"/>
          <w:szCs w:val="20"/>
        </w:rPr>
        <w:t>VI. FUTURE WORK</w:t>
      </w:r>
    </w:p>
    <w:p w:rsidR="006C3B95" w:rsidRPr="006C3B95" w:rsidRDefault="006C3B95" w:rsidP="006C3B95">
      <w:pPr>
        <w:spacing w:after="0" w:line="240" w:lineRule="auto"/>
        <w:jc w:val="both"/>
        <w:rPr>
          <w:rFonts w:ascii="Times New Roman" w:hAnsi="Times New Roman" w:cs="Times New Roman"/>
          <w:sz w:val="20"/>
          <w:szCs w:val="20"/>
        </w:rPr>
      </w:pPr>
    </w:p>
    <w:p w:rsidR="006C3B95" w:rsidRP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Future research should focus on validating the proposed predictive enterprise resilience framework using large-scale, heterogeneous, real-world enterprise datasets. Experimental studies can evaluate multiple machine-learning approaches, including supervised learning, unsupervised anomaly detection, deep learning, reinforcement learning, and time-series forecasting, to determine how different techniques perform under different disruption conditions. Greater attention should also be given to explainable and trustworthy AI so that resilience predictions can be interpreted by engineers, managers, and other stakeholders. Future Digital Twin implementations could incorporate more detailed dependency graphs covering applications, infrastructure, business processes, suppliers, and external services. Research can also investigate federated and privacy-preserving learning approaches that allow organizations to benefit from collaborative intelligence without exposing sensitive operational data. Another important direction is the development of standardized resilience datasets and benchmarks that enable consistent comparison between Digital Twin and machine-learning architectures.</w:t>
      </w:r>
    </w:p>
    <w:p w:rsidR="006C3B95" w:rsidRPr="006C3B95" w:rsidRDefault="006C3B95" w:rsidP="006C3B95">
      <w:pPr>
        <w:spacing w:after="0" w:line="240" w:lineRule="auto"/>
        <w:jc w:val="both"/>
        <w:rPr>
          <w:rFonts w:ascii="Times New Roman" w:hAnsi="Times New Roman" w:cs="Times New Roman"/>
          <w:sz w:val="20"/>
          <w:szCs w:val="20"/>
        </w:rPr>
      </w:pPr>
    </w:p>
    <w:p w:rsidR="006C3B95" w:rsidRDefault="006C3B95" w:rsidP="006C3B95">
      <w:pPr>
        <w:spacing w:after="0" w:line="240" w:lineRule="auto"/>
        <w:jc w:val="both"/>
        <w:rPr>
          <w:rFonts w:ascii="Times New Roman" w:hAnsi="Times New Roman" w:cs="Times New Roman"/>
          <w:sz w:val="20"/>
          <w:szCs w:val="20"/>
        </w:rPr>
      </w:pPr>
      <w:r w:rsidRPr="006C3B95">
        <w:rPr>
          <w:rFonts w:ascii="Times New Roman" w:hAnsi="Times New Roman" w:cs="Times New Roman"/>
          <w:sz w:val="20"/>
          <w:szCs w:val="20"/>
        </w:rPr>
        <w:t>Future work should additionally investigate autonomous and self-adaptive resilience mechanisms. Instead of merely predicting a potential disruption, future systems could automatically evaluate several mitigation strategies within the Digital Twin and recommend or execute an appropriate response subject to predefined governance policies. Reinforcement learning and optimization techniques could be investigated for dynamic resource allocation, workload migration, failover management, and recovery scheduling. Research should also examine multi-cloud and edge-cloud environments, where resilience depends on coordination among geographically distributed resources and service providers. Cybersecurity should be integrated more deeply into the framework so that the Digital Twin can simultaneously model operational failures and security-related disruptions. Finally, long-term evaluation should measure not only prediction accuracy but also tangible enterprise outcomes, including reduced downtime, faster recovery, improved resource efficiency, reduced operational costs, and improved continuity of critical services. Such studies would help establish whether predictive Digital Twin systems can move from experimental architectures to dependable enterprise-scale resilience platforms.</w:t>
      </w:r>
    </w:p>
    <w:p w:rsidR="006C3B95" w:rsidRPr="006C3B95" w:rsidRDefault="006C3B95" w:rsidP="006C3B95">
      <w:pPr>
        <w:spacing w:after="0" w:line="240" w:lineRule="auto"/>
        <w:jc w:val="both"/>
        <w:rPr>
          <w:rFonts w:ascii="Times New Roman" w:eastAsia="Times New Roman" w:hAnsi="Times New Roman" w:cs="Times New Roman"/>
          <w:sz w:val="20"/>
          <w:szCs w:val="20"/>
          <w:lang w:eastAsia="en-IN"/>
        </w:rPr>
      </w:pPr>
    </w:p>
    <w:p w:rsidR="006C3B95" w:rsidRPr="006C3B95" w:rsidRDefault="00FE0505" w:rsidP="00FE0505">
      <w:pPr>
        <w:pStyle w:val="ListParagraph"/>
        <w:spacing w:after="0" w:line="240" w:lineRule="auto"/>
        <w:ind w:left="360"/>
        <w:jc w:val="center"/>
        <w:rPr>
          <w:rFonts w:ascii="Times New Roman" w:eastAsia="Times New Roman" w:hAnsi="Times New Roman" w:cs="Times New Roman"/>
          <w:sz w:val="20"/>
          <w:szCs w:val="20"/>
          <w:lang w:eastAsia="en-IN"/>
        </w:rPr>
      </w:pPr>
      <w:r w:rsidRPr="00FE0505">
        <w:rPr>
          <w:rFonts w:ascii="Times New Roman" w:eastAsia="Times New Roman" w:hAnsi="Times New Roman" w:cs="Times New Roman"/>
          <w:b/>
          <w:sz w:val="20"/>
          <w:szCs w:val="20"/>
          <w:lang w:eastAsia="en-IN"/>
        </w:rPr>
        <w:t>REFERENCES</w:t>
      </w:r>
    </w:p>
    <w:p w:rsidR="006C3B95" w:rsidRPr="006C3B95" w:rsidRDefault="006C3B95" w:rsidP="006C3B95">
      <w:pPr>
        <w:pStyle w:val="ListParagraph"/>
        <w:spacing w:after="0" w:line="240" w:lineRule="auto"/>
        <w:ind w:left="360"/>
        <w:jc w:val="both"/>
        <w:rPr>
          <w:rFonts w:ascii="Times New Roman" w:eastAsia="Times New Roman" w:hAnsi="Times New Roman" w:cs="Times New Roman"/>
          <w:sz w:val="20"/>
          <w:szCs w:val="20"/>
          <w:lang w:eastAsia="en-IN"/>
        </w:rPr>
      </w:pPr>
    </w:p>
    <w:p w:rsidR="00E036BD" w:rsidRPr="006C3B95" w:rsidRDefault="00E036BD"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hAnsi="Times New Roman" w:cs="Times New Roman"/>
          <w:sz w:val="20"/>
          <w:szCs w:val="20"/>
        </w:rPr>
        <w:t xml:space="preserve">Nele, L., Mattera, G., Yap, E. W., Vozza, M., &amp; Vespoli, S. (2024). Towards the application of machine learning in digital twin technology: A multi-scale review. </w:t>
      </w:r>
      <w:r w:rsidRPr="006C3B95">
        <w:rPr>
          <w:rStyle w:val="Emphasis"/>
          <w:rFonts w:ascii="Times New Roman" w:hAnsi="Times New Roman" w:cs="Times New Roman"/>
          <w:sz w:val="20"/>
          <w:szCs w:val="20"/>
        </w:rPr>
        <w:t>Discover Applied Sciences, 6</w:t>
      </w:r>
      <w:r w:rsidRPr="006C3B95">
        <w:rPr>
          <w:rFonts w:ascii="Times New Roman" w:hAnsi="Times New Roman" w:cs="Times New Roman"/>
          <w:sz w:val="20"/>
          <w:szCs w:val="20"/>
        </w:rPr>
        <w:t>, 502. https://doi.org/10.1007/s42452-024-06206-4</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Ramasamy, M. (2025).</w:t>
      </w:r>
      <w:r w:rsidRPr="006C3B95">
        <w:rPr>
          <w:rFonts w:ascii="Times New Roman" w:eastAsia="Times New Roman" w:hAnsi="Times New Roman" w:cs="Times New Roman"/>
          <w:sz w:val="20"/>
          <w:szCs w:val="20"/>
          <w:lang w:eastAsia="en-IN"/>
        </w:rPr>
        <w:t xml:space="preserve"> Secure and extensible platform architecture for enterprise network orchestration. International Journal of Science, Research and Technology, 8(1), 13534–13544.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Mudunuri, L. N. R., Maroju, P. K., &amp; Aragani, V. M. (2025, January).</w:t>
      </w:r>
      <w:r w:rsidRPr="006C3B95">
        <w:rPr>
          <w:rFonts w:ascii="Times New Roman" w:eastAsia="Times New Roman" w:hAnsi="Times New Roman" w:cs="Times New Roman"/>
          <w:sz w:val="20"/>
          <w:szCs w:val="20"/>
          <w:lang w:eastAsia="en-IN"/>
        </w:rPr>
        <w:t xml:space="preserve"> Leveraging nlp-driven sentiment analysis for enhancing decision-making in supply chain management. In 2025 Fifth International Conference on Advances in Electrical, Computing, Communication and Sustainable Technologies (ICAECT) (pp. 1-6). IEEE.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Mathew, A. (2021).</w:t>
      </w:r>
      <w:r w:rsidRPr="006C3B95">
        <w:rPr>
          <w:rFonts w:ascii="Times New Roman" w:eastAsia="Times New Roman" w:hAnsi="Times New Roman" w:cs="Times New Roman"/>
          <w:sz w:val="20"/>
          <w:szCs w:val="20"/>
          <w:lang w:eastAsia="en-IN"/>
        </w:rPr>
        <w:t xml:space="preserve"> Artificial intelligence and cognitive computing for 6G communications &amp; networks. International Journal of Computer Science and Mobile Computing, 10(3), 26-31.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Mohile, A., Yadav, A. L., Mukherjee, U., Kapoor, R., Attri, V., &amp; Reddy, R. R. (2026, May).</w:t>
      </w:r>
      <w:r w:rsidRPr="006C3B95">
        <w:rPr>
          <w:rFonts w:ascii="Times New Roman" w:eastAsia="Times New Roman" w:hAnsi="Times New Roman" w:cs="Times New Roman"/>
          <w:sz w:val="20"/>
          <w:szCs w:val="20"/>
          <w:lang w:eastAsia="en-IN"/>
        </w:rPr>
        <w:t xml:space="preserve"> Ethical AI Framework for Protecting Human Rights in Digital Surveillance Systems. In 2026 International Conference on Computational Robotics, Testing and Engineering Evaluation (ICCRTEE) (pp. 1-6). IEEE.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Jayaraman, S., Rajendran, S., &amp; P, S. P. (2019).</w:t>
      </w:r>
      <w:r w:rsidRPr="006C3B95">
        <w:rPr>
          <w:rFonts w:ascii="Times New Roman" w:eastAsia="Times New Roman" w:hAnsi="Times New Roman" w:cs="Times New Roman"/>
          <w:sz w:val="20"/>
          <w:szCs w:val="20"/>
          <w:lang w:eastAsia="en-IN"/>
        </w:rPr>
        <w:t xml:space="preserve"> Fuzzy c-means clustering and elliptic curve cryptography using privacy preserving in cloud. International Journal of Business Intelligence and Data Mining, 15(3), 273-287.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Chinnam, N. B. (2025).</w:t>
      </w:r>
      <w:r w:rsidRPr="006C3B95">
        <w:rPr>
          <w:rFonts w:ascii="Times New Roman" w:eastAsia="Times New Roman" w:hAnsi="Times New Roman" w:cs="Times New Roman"/>
          <w:sz w:val="20"/>
          <w:szCs w:val="20"/>
          <w:lang w:eastAsia="en-IN"/>
        </w:rPr>
        <w:t xml:space="preserve"> Intelligent distribution center integration for transportation modernization. International Journal of Research and Applied Innovations, 8(2), 11283–11288.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Pasupuleti, N. S., Kapoor, S., Vedula, J., Sati, M. M., Shamilevna, G. S., &amp; Khurmat, E. (2025, July).</w:t>
      </w:r>
      <w:r w:rsidRPr="006C3B95">
        <w:rPr>
          <w:rFonts w:ascii="Times New Roman" w:eastAsia="Times New Roman" w:hAnsi="Times New Roman" w:cs="Times New Roman"/>
          <w:sz w:val="20"/>
          <w:szCs w:val="20"/>
          <w:lang w:eastAsia="en-IN"/>
        </w:rPr>
        <w:t xml:space="preserve"> Implementation of a Deep Learning Model for Real-time Detection of Diabetic Retinopathy in Primary Care Clinics. In 2025 International Conference on Information, Implementation, and Innovation in Technology (I2ITCON) (pp. 1-6). IEEE.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Awopejo, T. E., Adigun, P. O., Oyekanmi, T. T., Azeez, N. A. A., Adekanye, M. A., &amp; Obisesan, A. (2025).</w:t>
      </w:r>
      <w:r w:rsidRPr="006C3B95">
        <w:rPr>
          <w:rFonts w:ascii="Times New Roman" w:eastAsia="Times New Roman" w:hAnsi="Times New Roman" w:cs="Times New Roman"/>
          <w:sz w:val="20"/>
          <w:szCs w:val="20"/>
          <w:lang w:eastAsia="en-IN"/>
        </w:rPr>
        <w:t xml:space="preserve"> Machine learning-based prediction of magnetic properties from hysteresis curves: A comparative study of Random Forest, Gradient Boosting, XGBoost, LightGBM and Support Vector Regressions. International Journal of Research Publications in Engineering, Technology and Management (IJRPETM), 8(6), 13456-13479.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Sudhan, S. K. H. H., &amp; Kumar, S. S. (2016).</w:t>
      </w:r>
      <w:r w:rsidRPr="006C3B95">
        <w:rPr>
          <w:rFonts w:ascii="Times New Roman" w:eastAsia="Times New Roman" w:hAnsi="Times New Roman" w:cs="Times New Roman"/>
          <w:sz w:val="20"/>
          <w:szCs w:val="20"/>
          <w:lang w:eastAsia="en-IN"/>
        </w:rPr>
        <w:t xml:space="preserve"> Gallant Use of Cloud by a Novel Framework of Encrypted Biometric Authentication and Multi Level Data Protection. Indian Journal of Science and Technology, 9, 44.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Tarakampet, S., Tatavarthi, S., &amp; Ali, S. B. S. (2026, May).</w:t>
      </w:r>
      <w:r w:rsidRPr="006C3B95">
        <w:rPr>
          <w:rFonts w:ascii="Times New Roman" w:eastAsia="Times New Roman" w:hAnsi="Times New Roman" w:cs="Times New Roman"/>
          <w:sz w:val="20"/>
          <w:szCs w:val="20"/>
          <w:lang w:eastAsia="en-IN"/>
        </w:rPr>
        <w:t xml:space="preserve"> The Future of Automated Compliance: Designing Scalable Platforms for Regulatory Agility. In 2026 IEEE World AI IoT Congress (AIIoT) (pp. 0974-0980). IEEE.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Bitragunta, S. L. V. (2024).</w:t>
      </w:r>
      <w:r w:rsidRPr="006C3B95">
        <w:rPr>
          <w:rFonts w:ascii="Times New Roman" w:eastAsia="Times New Roman" w:hAnsi="Times New Roman" w:cs="Times New Roman"/>
          <w:sz w:val="20"/>
          <w:szCs w:val="20"/>
          <w:lang w:eastAsia="en-IN"/>
        </w:rPr>
        <w:t xml:space="preserve"> AI-driven deep learning-based animal intrusion detection and early warning system for railroad tracks. International Research Journal of Innovative Engineering, 8(1), 13909–13918.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Venkatasalam, K., Rajendran, P., &amp; Thangavel, M. (2019).</w:t>
      </w:r>
      <w:r w:rsidRPr="006C3B95">
        <w:rPr>
          <w:rFonts w:ascii="Times New Roman" w:eastAsia="Times New Roman" w:hAnsi="Times New Roman" w:cs="Times New Roman"/>
          <w:sz w:val="20"/>
          <w:szCs w:val="20"/>
          <w:lang w:eastAsia="en-IN"/>
        </w:rPr>
        <w:t xml:space="preserve"> Improving the accuracy of feature selection in big data mining using accelerated flower pollination (AFP) algorithm. Journal of medical systems, 43(4), 96.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Gopinathan, V. R. (2023).</w:t>
      </w:r>
      <w:r w:rsidRPr="006C3B95">
        <w:rPr>
          <w:rFonts w:ascii="Times New Roman" w:eastAsia="Times New Roman" w:hAnsi="Times New Roman" w:cs="Times New Roman"/>
          <w:sz w:val="20"/>
          <w:szCs w:val="20"/>
          <w:lang w:eastAsia="en-IN"/>
        </w:rPr>
        <w:t xml:space="preserve"> Modernizing Enterprise Applications Using Intelligent API Frameworks Machine Learning and Cloud Native Computing. International Journal of Science, Research and Technology, 6(5), 10690-10697.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Ravichandran, S., &amp; Kandasamy, V. (2025).</w:t>
      </w:r>
      <w:r w:rsidRPr="006C3B95">
        <w:rPr>
          <w:rFonts w:ascii="Times New Roman" w:eastAsia="Times New Roman" w:hAnsi="Times New Roman" w:cs="Times New Roman"/>
          <w:sz w:val="20"/>
          <w:szCs w:val="20"/>
          <w:lang w:eastAsia="en-IN"/>
        </w:rPr>
        <w:t xml:space="preserve"> Optimized Attention Augmented Residual Convolutional Neural Network with Fa-Resnet for Fabric Defect Detection. Journal of Control Engineering and Applied Informatics, 27(4), 3-15.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Lingala, B. (2026).</w:t>
      </w:r>
      <w:r w:rsidRPr="006C3B95">
        <w:rPr>
          <w:rFonts w:ascii="Times New Roman" w:eastAsia="Times New Roman" w:hAnsi="Times New Roman" w:cs="Times New Roman"/>
          <w:sz w:val="20"/>
          <w:szCs w:val="20"/>
          <w:lang w:eastAsia="en-IN"/>
        </w:rPr>
        <w:t xml:space="preserve"> Artificial intelligence and society: Governance models and ethical risks. </w:t>
      </w:r>
      <w:r w:rsidRPr="006C3B95">
        <w:rPr>
          <w:rFonts w:ascii="Times New Roman" w:eastAsia="Times New Roman" w:hAnsi="Times New Roman" w:cs="Times New Roman"/>
          <w:i/>
          <w:iCs/>
          <w:sz w:val="20"/>
          <w:szCs w:val="20"/>
          <w:lang w:eastAsia="en-IN"/>
        </w:rPr>
        <w:t>International Journal of Research and Applied Innovations, 9</w:t>
      </w:r>
      <w:r w:rsidRPr="006C3B95">
        <w:rPr>
          <w:rFonts w:ascii="Times New Roman" w:eastAsia="Times New Roman" w:hAnsi="Times New Roman" w:cs="Times New Roman"/>
          <w:sz w:val="20"/>
          <w:szCs w:val="20"/>
          <w:lang w:eastAsia="en-IN"/>
        </w:rPr>
        <w:t xml:space="preserve">(1), 13707–13711.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Das, P., Gogineni, A., Patel, K., &amp; Jain, A. (2025, May).</w:t>
      </w:r>
      <w:r w:rsidRPr="006C3B95">
        <w:rPr>
          <w:rFonts w:ascii="Times New Roman" w:eastAsia="Times New Roman" w:hAnsi="Times New Roman" w:cs="Times New Roman"/>
          <w:sz w:val="20"/>
          <w:szCs w:val="20"/>
          <w:lang w:eastAsia="en-IN"/>
        </w:rPr>
        <w:t xml:space="preserve"> Integration of IoT and Machine Learning to Monitor the Air Quality by Measuring the Block Carbon Levels. In 2025 International Conference on Engineering, Technology &amp; Management (ICETM) (pp. 1-6). IEEE.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Raja, G. V. (2022).</w:t>
      </w:r>
      <w:r w:rsidRPr="006C3B95">
        <w:rPr>
          <w:rFonts w:ascii="Times New Roman" w:eastAsia="Times New Roman" w:hAnsi="Times New Roman" w:cs="Times New Roman"/>
          <w:sz w:val="20"/>
          <w:szCs w:val="20"/>
          <w:lang w:eastAsia="en-IN"/>
        </w:rPr>
        <w:t xml:space="preserve"> AI Enabled Cloud and Data Engineering Frameworks for Secure, Scalable, and Intelligent Cyber Physical Analytics Systems. International Journal of Research and Applied Innovations, 5(4), 7395-7409.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Ahuja, D. (2025).</w:t>
      </w:r>
      <w:r w:rsidRPr="006C3B95">
        <w:rPr>
          <w:rFonts w:ascii="Times New Roman" w:eastAsia="Times New Roman" w:hAnsi="Times New Roman" w:cs="Times New Roman"/>
          <w:sz w:val="20"/>
          <w:szCs w:val="20"/>
          <w:lang w:eastAsia="en-IN"/>
        </w:rPr>
        <w:t xml:space="preserve"> Securing Container Isolation in Multi-Tenant Environments. Journal of Computer Science and Technology Studies, 7(10), 225-232. </w:t>
      </w:r>
    </w:p>
    <w:p w:rsidR="006E010D" w:rsidRDefault="00484E7A" w:rsidP="006E010D">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Rekulapalli, K., Kagga, S. R., Ayyagari, V., Akula, A., &amp; Raj Akula, R. (2026).</w:t>
      </w:r>
      <w:r w:rsidRPr="006C3B95">
        <w:rPr>
          <w:rFonts w:ascii="Times New Roman" w:eastAsia="Times New Roman" w:hAnsi="Times New Roman" w:cs="Times New Roman"/>
          <w:sz w:val="20"/>
          <w:szCs w:val="20"/>
          <w:lang w:eastAsia="en-IN"/>
        </w:rPr>
        <w:t xml:space="preserve"> AI in HRM: Enhancing workforce competency and organizational effectiveness. Proceedings of the International Conference on Innovative Computing and Communication (ICICC 2026). </w:t>
      </w:r>
    </w:p>
    <w:p w:rsidR="006E010D" w:rsidRDefault="006E010D" w:rsidP="006E010D">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E010D">
        <w:rPr>
          <w:rFonts w:ascii="Times New Roman" w:eastAsia="Times New Roman" w:hAnsi="Times New Roman" w:cs="Times New Roman"/>
          <w:sz w:val="20"/>
          <w:szCs w:val="20"/>
          <w:lang w:eastAsia="en-IN"/>
        </w:rPr>
        <w:t>Elliott, S., &amp; Roy, S. (2026, April). Critical Transit Infrastructure in Smart Cities and Urban Air Quality: A Multi-City Seasonal Comparison of Ridership and PM 2.5. In 2026 IEEE Conference on Technologies for Sustainability (SusTech) (pp. 1-8). IEEE.</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Pothuri, M. K. (2025).</w:t>
      </w:r>
      <w:r w:rsidRPr="006C3B95">
        <w:rPr>
          <w:rFonts w:ascii="Times New Roman" w:eastAsia="Times New Roman" w:hAnsi="Times New Roman" w:cs="Times New Roman"/>
          <w:sz w:val="20"/>
          <w:szCs w:val="20"/>
          <w:lang w:eastAsia="en-IN"/>
        </w:rPr>
        <w:t xml:space="preserve"> AI-Driven Reusable Unified Extract for Multi-State Medicaid and Federal Reporting-a Product that saves Millions of Taxpayer Money through process efficiency and reusability. International Journal of AI, BigData, Computational and Management Studies, 6(4), 211-216.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Polamarasetty, V. K. (2021).</w:t>
      </w:r>
      <w:r w:rsidRPr="006C3B95">
        <w:rPr>
          <w:rFonts w:ascii="Times New Roman" w:eastAsia="Times New Roman" w:hAnsi="Times New Roman" w:cs="Times New Roman"/>
          <w:sz w:val="20"/>
          <w:szCs w:val="20"/>
          <w:lang w:eastAsia="en-IN"/>
        </w:rPr>
        <w:t xml:space="preserve"> Modernizing SAP sales and distribution systems through ABAP-based enterprise solutions. International Journal of Research and Applied Innovations, 4(2), 4925–4930.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Manda, P. (2026).</w:t>
      </w:r>
      <w:r w:rsidRPr="006C3B95">
        <w:rPr>
          <w:rFonts w:ascii="Times New Roman" w:eastAsia="Times New Roman" w:hAnsi="Times New Roman" w:cs="Times New Roman"/>
          <w:sz w:val="20"/>
          <w:szCs w:val="20"/>
          <w:lang w:eastAsia="en-IN"/>
        </w:rPr>
        <w:t xml:space="preserve"> Database modernization - Sybase to SQL Server migration. International Journal of Engineering &amp; Extended Technologies Research, 8(1), 252–258.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Sugumar, R. (2022).</w:t>
      </w:r>
      <w:r w:rsidRPr="006C3B95">
        <w:rPr>
          <w:rFonts w:ascii="Times New Roman" w:eastAsia="Times New Roman" w:hAnsi="Times New Roman" w:cs="Times New Roman"/>
          <w:sz w:val="20"/>
          <w:szCs w:val="20"/>
          <w:lang w:eastAsia="en-IN"/>
        </w:rPr>
        <w:t xml:space="preserve"> Federated Learning and Distributed AI Architectures for Cloud-Based Cyber Healthcare Data Collaboration Systems. International Journal of Future Innovative Science and Technology (IJFIST), 5(5), 9232.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Chundi, V. R. K., Agarwal, V., &amp; Arya, P. (2025, November).</w:t>
      </w:r>
      <w:r w:rsidRPr="006C3B95">
        <w:rPr>
          <w:rFonts w:ascii="Times New Roman" w:eastAsia="Times New Roman" w:hAnsi="Times New Roman" w:cs="Times New Roman"/>
          <w:sz w:val="20"/>
          <w:szCs w:val="20"/>
          <w:lang w:eastAsia="en-IN"/>
        </w:rPr>
        <w:t xml:space="preserve"> Green AI for Sustainable Supply Chains: Challenges in Emerging Economies. In </w:t>
      </w:r>
      <w:r w:rsidRPr="006C3B95">
        <w:rPr>
          <w:rFonts w:ascii="Times New Roman" w:eastAsia="Times New Roman" w:hAnsi="Times New Roman" w:cs="Times New Roman"/>
          <w:i/>
          <w:iCs/>
          <w:sz w:val="20"/>
          <w:szCs w:val="20"/>
          <w:lang w:eastAsia="en-IN"/>
        </w:rPr>
        <w:t>2025 International Conference on Computational Engineering, Sensing Technology and Management (ICCETM)</w:t>
      </w:r>
      <w:r w:rsidRPr="006C3B95">
        <w:rPr>
          <w:rFonts w:ascii="Times New Roman" w:eastAsia="Times New Roman" w:hAnsi="Times New Roman" w:cs="Times New Roman"/>
          <w:sz w:val="20"/>
          <w:szCs w:val="20"/>
          <w:lang w:eastAsia="en-IN"/>
        </w:rPr>
        <w:t xml:space="preserve"> (pp. 1-5). IEEE. </w:t>
      </w:r>
    </w:p>
    <w:p w:rsidR="00484E7A"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Soundappan, S. J. (2021).</w:t>
      </w:r>
      <w:r w:rsidRPr="006C3B95">
        <w:rPr>
          <w:rFonts w:ascii="Times New Roman" w:eastAsia="Times New Roman" w:hAnsi="Times New Roman" w:cs="Times New Roman"/>
          <w:sz w:val="20"/>
          <w:szCs w:val="20"/>
          <w:lang w:eastAsia="en-IN"/>
        </w:rPr>
        <w:t xml:space="preserve"> Integrated Artificial Intelligence Framework for Enterprise Cloud Modernization and Intelligent Threat Management Systems. International Journal of Research Publications in Engineering, Technology and Management (IJRPETM), 4(4), 5274-5284. </w:t>
      </w:r>
    </w:p>
    <w:p w:rsidR="006E010D" w:rsidRPr="006E010D" w:rsidRDefault="006E010D" w:rsidP="006E010D">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E010D">
        <w:rPr>
          <w:rFonts w:ascii="Times New Roman" w:eastAsia="Times New Roman" w:hAnsi="Times New Roman" w:cs="Times New Roman"/>
          <w:sz w:val="20"/>
          <w:szCs w:val="20"/>
          <w:lang w:eastAsia="en-IN"/>
        </w:rPr>
        <w:t>Shaik, N. (2025). Securing Kubernetes: An integrated approach to AI-driven threat detection and eBPF-based security monitoring. International Journal of Research and Applied Innovations, 8(2), 11289–11294</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bookmarkStart w:id="0" w:name="_GoBack"/>
      <w:bookmarkEnd w:id="0"/>
      <w:r w:rsidRPr="006C3B95">
        <w:rPr>
          <w:rFonts w:ascii="Times New Roman" w:eastAsia="Times New Roman" w:hAnsi="Times New Roman" w:cs="Times New Roman"/>
          <w:bCs/>
          <w:sz w:val="20"/>
          <w:szCs w:val="20"/>
          <w:lang w:eastAsia="en-IN"/>
        </w:rPr>
        <w:t>Mathew, A., &amp; Sydney, W. (2026).</w:t>
      </w:r>
      <w:r w:rsidRPr="006C3B95">
        <w:rPr>
          <w:rFonts w:ascii="Times New Roman" w:eastAsia="Times New Roman" w:hAnsi="Times New Roman" w:cs="Times New Roman"/>
          <w:sz w:val="20"/>
          <w:szCs w:val="20"/>
          <w:lang w:eastAsia="en-IN"/>
        </w:rPr>
        <w:t xml:space="preserve"> Cybersecurity 5.0: From firewalls to fully autonomous digital protection. ISRG Journal of Engineering and Technology, 2(2), 6–9. </w:t>
      </w:r>
    </w:p>
    <w:p w:rsidR="00484E7A" w:rsidRPr="006C3B95" w:rsidRDefault="00484E7A"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eastAsia="Times New Roman" w:hAnsi="Times New Roman" w:cs="Times New Roman"/>
          <w:bCs/>
          <w:sz w:val="20"/>
          <w:szCs w:val="20"/>
          <w:lang w:eastAsia="en-IN"/>
        </w:rPr>
        <w:t>Ramasamy, M. (2026).</w:t>
      </w:r>
      <w:r w:rsidRPr="006C3B95">
        <w:rPr>
          <w:rFonts w:ascii="Times New Roman" w:eastAsia="Times New Roman" w:hAnsi="Times New Roman" w:cs="Times New Roman"/>
          <w:sz w:val="20"/>
          <w:szCs w:val="20"/>
          <w:lang w:eastAsia="en-IN"/>
        </w:rPr>
        <w:t xml:space="preserve"> Microservices-based architectures for enterprise network orchestration and assurance. International Journal of Research and Applied Innovations, 9(2), 156–166. </w:t>
      </w:r>
    </w:p>
    <w:p w:rsidR="00E036BD" w:rsidRPr="006C3B95" w:rsidRDefault="00E036BD" w:rsidP="006C3B95">
      <w:pPr>
        <w:pStyle w:val="ListParagraph"/>
        <w:numPr>
          <w:ilvl w:val="0"/>
          <w:numId w:val="3"/>
        </w:numPr>
        <w:spacing w:after="0" w:line="240" w:lineRule="auto"/>
        <w:ind w:left="360"/>
        <w:jc w:val="both"/>
        <w:rPr>
          <w:rFonts w:ascii="Times New Roman" w:eastAsia="Times New Roman" w:hAnsi="Times New Roman" w:cs="Times New Roman"/>
          <w:sz w:val="20"/>
          <w:szCs w:val="20"/>
          <w:lang w:eastAsia="en-IN"/>
        </w:rPr>
      </w:pPr>
      <w:r w:rsidRPr="006C3B95">
        <w:rPr>
          <w:rFonts w:ascii="Times New Roman" w:hAnsi="Times New Roman" w:cs="Times New Roman"/>
          <w:sz w:val="20"/>
          <w:szCs w:val="20"/>
        </w:rPr>
        <w:t xml:space="preserve">Zhou, G., Tian, W., Buyya, R., Xue, R., &amp; Song, L. (2024). Deep reinforcement learning-based methods for resource scheduling in cloud computing: A review and future directions. </w:t>
      </w:r>
      <w:r w:rsidRPr="006C3B95">
        <w:rPr>
          <w:rStyle w:val="Emphasis"/>
          <w:rFonts w:ascii="Times New Roman" w:hAnsi="Times New Roman" w:cs="Times New Roman"/>
          <w:sz w:val="20"/>
          <w:szCs w:val="20"/>
        </w:rPr>
        <w:t>Artificial Intelligence Review, 57</w:t>
      </w:r>
      <w:r w:rsidRPr="006C3B95">
        <w:rPr>
          <w:rFonts w:ascii="Times New Roman" w:hAnsi="Times New Roman" w:cs="Times New Roman"/>
          <w:sz w:val="20"/>
          <w:szCs w:val="20"/>
        </w:rPr>
        <w:t xml:space="preserve">, 124. </w:t>
      </w:r>
      <w:hyperlink r:id="rId9" w:tgtFrame="_new" w:history="1">
        <w:r w:rsidRPr="006C3B95">
          <w:rPr>
            <w:rStyle w:val="Hyperlink"/>
            <w:rFonts w:ascii="Times New Roman" w:hAnsi="Times New Roman" w:cs="Times New Roman"/>
            <w:color w:val="auto"/>
            <w:sz w:val="20"/>
            <w:szCs w:val="20"/>
            <w:u w:val="none"/>
          </w:rPr>
          <w:t>https://doi.org/10.1007/s10462-024-10756-9</w:t>
        </w:r>
      </w:hyperlink>
    </w:p>
    <w:p w:rsidR="002D1936" w:rsidRPr="006C3B95" w:rsidRDefault="002D1936" w:rsidP="006C3B95">
      <w:pPr>
        <w:spacing w:after="0" w:line="240" w:lineRule="auto"/>
        <w:jc w:val="both"/>
        <w:rPr>
          <w:rFonts w:ascii="Times New Roman" w:hAnsi="Times New Roman" w:cs="Times New Roman"/>
          <w:sz w:val="20"/>
          <w:szCs w:val="20"/>
        </w:rPr>
      </w:pPr>
    </w:p>
    <w:sectPr w:rsidR="002D1936" w:rsidRPr="006C3B95" w:rsidSect="006C3B95">
      <w:headerReference w:type="default" r:id="rId10"/>
      <w:footerReference w:type="default" r:id="rId11"/>
      <w:pgSz w:w="11906" w:h="16838" w:code="9"/>
      <w:pgMar w:top="1151" w:right="1151" w:bottom="1151" w:left="1151" w:header="708" w:footer="708" w:gutter="0"/>
      <w:pgBorders w:offsetFrom="page">
        <w:top w:val="single" w:sz="4" w:space="24" w:color="auto"/>
        <w:left w:val="single" w:sz="4" w:space="24" w:color="auto"/>
        <w:bottom w:val="single" w:sz="4" w:space="24" w:color="auto"/>
        <w:right w:val="single" w:sz="4" w:space="24" w:color="auto"/>
      </w:pgBorders>
      <w:pgNumType w:start="1889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C1F" w:rsidRDefault="00D33C1F" w:rsidP="006C3B95">
      <w:pPr>
        <w:spacing w:after="0" w:line="240" w:lineRule="auto"/>
      </w:pPr>
      <w:r>
        <w:separator/>
      </w:r>
    </w:p>
  </w:endnote>
  <w:endnote w:type="continuationSeparator" w:id="0">
    <w:p w:rsidR="00D33C1F" w:rsidRDefault="00D33C1F" w:rsidP="006C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ulim">
    <w:altName w:val="굴림"/>
    <w:panose1 w:val="020B0600000101010101"/>
    <w:charset w:val="81"/>
    <w:family w:val="roman"/>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B95" w:rsidRPr="0062623D" w:rsidRDefault="006C3B95" w:rsidP="006C3B95">
    <w:pPr>
      <w:pStyle w:val="Footer"/>
      <w:rPr>
        <w:rFonts w:ascii="Times New Roman" w:hAnsi="Times New Roman" w:cs="Times New Roman"/>
        <w:color w:val="003300"/>
        <w:szCs w:val="18"/>
      </w:rPr>
    </w:pPr>
    <w:r w:rsidRPr="0062623D">
      <w:rPr>
        <w:rFonts w:ascii="Times New Roman" w:hAnsi="Times New Roman" w:cs="Times New Roman"/>
        <w:b/>
        <w:color w:val="003300"/>
        <w:sz w:val="18"/>
        <w:szCs w:val="18"/>
      </w:rPr>
      <w:t xml:space="preserve">Copyright © IRJIE                                                           | An ISO 9001:2015 Certified </w:t>
    </w:r>
    <w:r>
      <w:rPr>
        <w:rFonts w:ascii="Times New Roman" w:hAnsi="Times New Roman" w:cs="Times New Roman"/>
        <w:b/>
        <w:color w:val="003300"/>
        <w:sz w:val="18"/>
        <w:szCs w:val="18"/>
      </w:rPr>
      <w:t xml:space="preserve">Journal |                       </w:t>
    </w:r>
    <w:r w:rsidRPr="0062623D">
      <w:rPr>
        <w:rFonts w:ascii="Times New Roman" w:hAnsi="Times New Roman" w:cs="Times New Roman"/>
        <w:b/>
        <w:color w:val="003300"/>
        <w:sz w:val="18"/>
        <w:szCs w:val="18"/>
      </w:rPr>
      <w:t xml:space="preserve">                      </w:t>
    </w:r>
    <w:r w:rsidRPr="0062623D">
      <w:rPr>
        <w:rFonts w:ascii="Times New Roman" w:hAnsi="Times New Roman" w:cs="Times New Roman"/>
        <w:b/>
        <w:color w:val="003300"/>
        <w:sz w:val="18"/>
        <w:szCs w:val="18"/>
      </w:rPr>
      <w:fldChar w:fldCharType="begin"/>
    </w:r>
    <w:r w:rsidRPr="0062623D">
      <w:rPr>
        <w:rFonts w:ascii="Times New Roman" w:hAnsi="Times New Roman" w:cs="Times New Roman"/>
        <w:b/>
        <w:color w:val="003300"/>
        <w:sz w:val="18"/>
        <w:szCs w:val="18"/>
      </w:rPr>
      <w:instrText xml:space="preserve"> PAGE   \* MERGEFORMAT </w:instrText>
    </w:r>
    <w:r w:rsidRPr="0062623D">
      <w:rPr>
        <w:rFonts w:ascii="Times New Roman" w:hAnsi="Times New Roman" w:cs="Times New Roman"/>
        <w:b/>
        <w:color w:val="003300"/>
        <w:sz w:val="18"/>
        <w:szCs w:val="18"/>
      </w:rPr>
      <w:fldChar w:fldCharType="separate"/>
    </w:r>
    <w:r w:rsidR="00D33C1F">
      <w:rPr>
        <w:rFonts w:ascii="Times New Roman" w:hAnsi="Times New Roman" w:cs="Times New Roman"/>
        <w:b/>
        <w:noProof/>
        <w:color w:val="003300"/>
        <w:sz w:val="18"/>
        <w:szCs w:val="18"/>
      </w:rPr>
      <w:t>18891</w:t>
    </w:r>
    <w:r w:rsidRPr="0062623D">
      <w:rPr>
        <w:rFonts w:ascii="Times New Roman" w:hAnsi="Times New Roman" w:cs="Times New Roman"/>
        <w:b/>
        <w:color w:val="003300"/>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C1F" w:rsidRDefault="00D33C1F" w:rsidP="006C3B95">
      <w:pPr>
        <w:spacing w:after="0" w:line="240" w:lineRule="auto"/>
      </w:pPr>
      <w:r>
        <w:separator/>
      </w:r>
    </w:p>
  </w:footnote>
  <w:footnote w:type="continuationSeparator" w:id="0">
    <w:p w:rsidR="00D33C1F" w:rsidRDefault="00D33C1F" w:rsidP="006C3B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B95" w:rsidRPr="00D672AD" w:rsidRDefault="006C3B95" w:rsidP="006C3B95">
    <w:pPr>
      <w:pStyle w:val="Heading1"/>
      <w:spacing w:before="0" w:after="180"/>
      <w:jc w:val="center"/>
      <w:rPr>
        <w:rFonts w:ascii="Agency FB" w:hAnsi="Agency FB"/>
        <w:color w:val="663300"/>
        <w:sz w:val="43"/>
        <w:szCs w:val="43"/>
      </w:rPr>
    </w:pPr>
    <w:r w:rsidRPr="00D672AD">
      <w:rPr>
        <w:noProof/>
        <w:color w:val="663300"/>
        <w:sz w:val="43"/>
        <w:szCs w:val="43"/>
        <w:lang w:eastAsia="en-IN"/>
      </w:rPr>
      <mc:AlternateContent>
        <mc:Choice Requires="wps">
          <w:drawing>
            <wp:anchor distT="0" distB="0" distL="114300" distR="114300" simplePos="0" relativeHeight="251660288" behindDoc="0" locked="0" layoutInCell="1" allowOverlap="1" wp14:anchorId="11F697B9" wp14:editId="3C274789">
              <wp:simplePos x="0" y="0"/>
              <wp:positionH relativeFrom="column">
                <wp:posOffset>26580</wp:posOffset>
              </wp:positionH>
              <wp:positionV relativeFrom="paragraph">
                <wp:posOffset>338455</wp:posOffset>
              </wp:positionV>
              <wp:extent cx="982579" cy="874294"/>
              <wp:effectExtent l="0" t="0" r="27305" b="215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579" cy="874294"/>
                      </a:xfrm>
                      <a:prstGeom prst="rect">
                        <a:avLst/>
                      </a:prstGeom>
                      <a:solidFill>
                        <a:srgbClr val="FFFFFF"/>
                      </a:solidFill>
                      <a:ln w="9525">
                        <a:solidFill>
                          <a:srgbClr val="FFFFFF"/>
                        </a:solidFill>
                        <a:miter lim="800000"/>
                        <a:headEnd/>
                        <a:tailEnd/>
                      </a:ln>
                    </wps:spPr>
                    <wps:txbx>
                      <w:txbxContent>
                        <w:p w:rsidR="006C3B95" w:rsidRDefault="006C3B95" w:rsidP="006C3B95">
                          <w:r>
                            <w:rPr>
                              <w:noProof/>
                            </w:rPr>
                            <w:t xml:space="preserve">    </w:t>
                          </w:r>
                          <w:r>
                            <w:rPr>
                              <w:noProof/>
                              <w:lang w:eastAsia="en-IN"/>
                            </w:rPr>
                            <w:drawing>
                              <wp:inline distT="0" distB="0" distL="0" distR="0" wp14:anchorId="59F9A2C7" wp14:editId="58E68768">
                                <wp:extent cx="629653" cy="6296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JIE_new Logo.png"/>
                                        <pic:cNvPicPr/>
                                      </pic:nvPicPr>
                                      <pic:blipFill>
                                        <a:blip r:embed="rId1">
                                          <a:extLst>
                                            <a:ext uri="{28A0092B-C50C-407E-A947-70E740481C1C}">
                                              <a14:useLocalDpi xmlns:a14="http://schemas.microsoft.com/office/drawing/2010/main" val="0"/>
                                            </a:ext>
                                          </a:extLst>
                                        </a:blip>
                                        <a:stretch>
                                          <a:fillRect/>
                                        </a:stretch>
                                      </pic:blipFill>
                                      <pic:spPr>
                                        <a:xfrm>
                                          <a:off x="0" y="0"/>
                                          <a:ext cx="629164" cy="62916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2.1pt;margin-top:26.65pt;width:77.35pt;height:6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" strokecolor="white">
              <v:textbox>
                <w:txbxContent>
                  <w:p w:rsidR="006C3B95" w:rsidRDefault="006C3B95" w:rsidP="006C3B95">
                    <w:r>
                      <w:rPr>
                        <w:noProof/>
                      </w:rPr>
                      <w:t xml:space="preserve">    </w:t>
                    </w:r>
                    <w:r>
                      <w:rPr>
                        <w:noProof/>
                        <w:lang w:eastAsia="en-IN"/>
                      </w:rPr>
                      <w:drawing>
                        <wp:inline distT="0" distB="0" distL="0" distR="0" wp14:anchorId="59F9A2C7" wp14:editId="58E68768">
                          <wp:extent cx="629653" cy="6296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JIE_new Logo.png"/>
                                  <pic:cNvPicPr/>
                                </pic:nvPicPr>
                                <pic:blipFill>
                                  <a:blip r:embed="rId1">
                                    <a:extLst>
                                      <a:ext uri="{28A0092B-C50C-407E-A947-70E740481C1C}">
                                        <a14:useLocalDpi xmlns:a14="http://schemas.microsoft.com/office/drawing/2010/main" val="0"/>
                                      </a:ext>
                                    </a:extLst>
                                  </a:blip>
                                  <a:stretch>
                                    <a:fillRect/>
                                  </a:stretch>
                                </pic:blipFill>
                                <pic:spPr>
                                  <a:xfrm>
                                    <a:off x="0" y="0"/>
                                    <a:ext cx="629164" cy="629164"/>
                                  </a:xfrm>
                                  <a:prstGeom prst="rect">
                                    <a:avLst/>
                                  </a:prstGeom>
                                </pic:spPr>
                              </pic:pic>
                            </a:graphicData>
                          </a:graphic>
                        </wp:inline>
                      </w:drawing>
                    </w:r>
                  </w:p>
                </w:txbxContent>
              </v:textbox>
            </v:shape>
          </w:pict>
        </mc:Fallback>
      </mc:AlternateContent>
    </w:r>
    <w:r w:rsidRPr="00D672AD">
      <w:rPr>
        <w:rFonts w:ascii="Agency FB" w:hAnsi="Agency FB" w:cs="Arial"/>
        <w:noProof/>
        <w:color w:val="663300"/>
        <w:sz w:val="43"/>
        <w:szCs w:val="43"/>
        <w:lang w:val="en-US"/>
      </w:rPr>
      <w:t>International Research Journal of Innovative Engineering (IRJIE)</w:t>
    </w:r>
    <w:r w:rsidRPr="00D672AD">
      <w:rPr>
        <w:rFonts w:ascii="Agency FB" w:hAnsi="Agency FB"/>
        <w:color w:val="663300"/>
        <w:sz w:val="43"/>
        <w:szCs w:val="43"/>
      </w:rPr>
      <w:t xml:space="preserve">      </w:t>
    </w:r>
  </w:p>
  <w:p w:rsidR="006C3B95" w:rsidRPr="0062623D" w:rsidRDefault="006C3B95" w:rsidP="006C3B95">
    <w:pPr>
      <w:spacing w:before="120" w:after="100" w:line="360" w:lineRule="auto"/>
      <w:jc w:val="center"/>
      <w:rPr>
        <w:rFonts w:ascii="Arial Black" w:hAnsi="Arial Black" w:cs="Arial"/>
        <w:b/>
        <w:color w:val="003300"/>
        <w:sz w:val="14"/>
        <w:szCs w:val="14"/>
      </w:rPr>
    </w:pPr>
    <w:r w:rsidRPr="0062623D">
      <w:rPr>
        <w:rFonts w:ascii="Arial Black" w:hAnsi="Arial Black" w:cs="Arial"/>
        <w:b/>
        <w:color w:val="003300"/>
        <w:sz w:val="15"/>
        <w:szCs w:val="15"/>
      </w:rPr>
      <w:t xml:space="preserve">                           </w:t>
    </w:r>
    <w:r w:rsidRPr="0062623D">
      <w:rPr>
        <w:rFonts w:ascii="Arial Black" w:hAnsi="Arial Black" w:cs="Arial"/>
        <w:b/>
        <w:color w:val="003300"/>
        <w:sz w:val="14"/>
        <w:szCs w:val="14"/>
      </w:rPr>
      <w:t xml:space="preserve">| ISSN: 2395-0560 | </w:t>
    </w:r>
    <w:hyperlink r:id="rId2" w:history="1">
      <w:r w:rsidRPr="0062623D">
        <w:rPr>
          <w:rStyle w:val="Hyperlink"/>
          <w:rFonts w:ascii="Arial Black" w:hAnsi="Arial Black" w:cs="Arial"/>
          <w:color w:val="003300"/>
          <w:sz w:val="14"/>
          <w:szCs w:val="14"/>
        </w:rPr>
        <w:t>www.irjie.org</w:t>
      </w:r>
    </w:hyperlink>
    <w:r w:rsidRPr="0062623D">
      <w:rPr>
        <w:rStyle w:val="Hyperlink"/>
        <w:rFonts w:ascii="Arial Black" w:hAnsi="Arial Black" w:cs="Arial"/>
        <w:color w:val="003300"/>
        <w:sz w:val="14"/>
        <w:szCs w:val="14"/>
      </w:rPr>
      <w:t xml:space="preserve"> </w:t>
    </w:r>
    <w:r w:rsidRPr="0062623D">
      <w:rPr>
        <w:rFonts w:ascii="Arial Black" w:hAnsi="Arial Black" w:cs="Arial"/>
        <w:b/>
        <w:color w:val="003300"/>
        <w:sz w:val="14"/>
        <w:szCs w:val="14"/>
      </w:rPr>
      <w:t>|</w:t>
    </w:r>
    <w:hyperlink r:id="rId3" w:history="1">
      <w:r w:rsidRPr="0062623D">
        <w:rPr>
          <w:rStyle w:val="Hyperlink"/>
          <w:rFonts w:ascii="Arial Black" w:hAnsi="Arial Black" w:cs="Arial"/>
          <w:color w:val="003300"/>
          <w:sz w:val="14"/>
          <w:szCs w:val="14"/>
        </w:rPr>
        <w:t>editor@irjie.org</w:t>
      </w:r>
    </w:hyperlink>
    <w:r w:rsidRPr="0062623D">
      <w:rPr>
        <w:rFonts w:ascii="Arial Black" w:hAnsi="Arial Black" w:cs="Arial"/>
        <w:b/>
        <w:color w:val="003300"/>
        <w:sz w:val="14"/>
        <w:szCs w:val="14"/>
      </w:rPr>
      <w:t>|</w:t>
    </w:r>
    <w:r w:rsidRPr="0062623D">
      <w:rPr>
        <w:rFonts w:ascii="Arial Black" w:hAnsi="Arial Black" w:cs="Arial"/>
        <w:color w:val="003300"/>
        <w:sz w:val="14"/>
        <w:szCs w:val="14"/>
      </w:rPr>
      <w:t xml:space="preserve"> </w:t>
    </w:r>
    <w:r w:rsidRPr="0062623D">
      <w:rPr>
        <w:rFonts w:ascii="Arial Black" w:hAnsi="Arial Black" w:cs="Arial"/>
        <w:b/>
        <w:color w:val="003300"/>
        <w:sz w:val="14"/>
        <w:szCs w:val="14"/>
      </w:rPr>
      <w:t>A Bimonthly, Peer-Reviewed, Scholarly Journal|</w:t>
    </w:r>
  </w:p>
  <w:p w:rsidR="006C3B95" w:rsidRPr="0062623D" w:rsidRDefault="006C3B95" w:rsidP="006C3B95">
    <w:pPr>
      <w:spacing w:after="80" w:line="360" w:lineRule="auto"/>
      <w:jc w:val="center"/>
      <w:rPr>
        <w:rFonts w:ascii="Arial Black" w:hAnsi="Arial Black" w:cs="Arial"/>
        <w:b/>
        <w:color w:val="003300"/>
        <w:sz w:val="17"/>
        <w:szCs w:val="17"/>
      </w:rPr>
    </w:pPr>
    <w:r w:rsidRPr="0062623D">
      <w:rPr>
        <w:rFonts w:ascii="Arial Black" w:eastAsia="Gulim" w:hAnsi="Arial Black" w:cs="Arial"/>
        <w:b/>
        <w:noProof/>
        <w:color w:val="003300"/>
        <w:sz w:val="18"/>
        <w:szCs w:val="18"/>
        <w:lang w:eastAsia="en-IN"/>
      </w:rPr>
      <mc:AlternateContent>
        <mc:Choice Requires="wps">
          <w:drawing>
            <wp:anchor distT="0" distB="0" distL="114300" distR="114300" simplePos="0" relativeHeight="251659264" behindDoc="0" locked="0" layoutInCell="1" allowOverlap="1" wp14:anchorId="49F01681" wp14:editId="1A9C347F">
              <wp:simplePos x="0" y="0"/>
              <wp:positionH relativeFrom="column">
                <wp:posOffset>270510</wp:posOffset>
              </wp:positionH>
              <wp:positionV relativeFrom="paragraph">
                <wp:posOffset>1183640</wp:posOffset>
              </wp:positionV>
              <wp:extent cx="643890" cy="556895"/>
              <wp:effectExtent l="0" t="0" r="22860" b="14605"/>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556895"/>
                      </a:xfrm>
                      <a:prstGeom prst="rect">
                        <a:avLst/>
                      </a:prstGeom>
                      <a:solidFill>
                        <a:srgbClr val="FFFFFF"/>
                      </a:solidFill>
                      <a:ln w="9525">
                        <a:solidFill>
                          <a:schemeClr val="bg1">
                            <a:lumMod val="100000"/>
                            <a:lumOff val="0"/>
                          </a:schemeClr>
                        </a:solidFill>
                        <a:miter lim="800000"/>
                        <a:headEnd/>
                        <a:tailEnd/>
                      </a:ln>
                    </wps:spPr>
                    <wps:txbx>
                      <w:txbxContent>
                        <w:p w:rsidR="006C3B95" w:rsidRDefault="006C3B95" w:rsidP="006C3B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21.3pt;margin-top:93.2pt;width:50.7pt;height:43.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" strokecolor="white [3212]">
              <v:textbox>
                <w:txbxContent>
                  <w:p w:rsidR="006C3B95" w:rsidRDefault="006C3B95" w:rsidP="006C3B95"/>
                </w:txbxContent>
              </v:textbox>
            </v:shape>
          </w:pict>
        </mc:Fallback>
      </mc:AlternateContent>
    </w:r>
    <w:r w:rsidRPr="0062623D">
      <w:rPr>
        <w:rFonts w:ascii="Arial Black" w:hAnsi="Arial Black" w:cs="Arial"/>
        <w:b/>
        <w:color w:val="003300"/>
      </w:rPr>
      <w:t xml:space="preserve">    </w:t>
    </w:r>
    <w:r w:rsidRPr="0062623D">
      <w:rPr>
        <w:rFonts w:ascii="Arial Black" w:hAnsi="Arial Black" w:cs="Arial"/>
        <w:b/>
        <w:color w:val="003300"/>
        <w:sz w:val="17"/>
        <w:szCs w:val="17"/>
      </w:rPr>
      <w:t xml:space="preserve">|Volume </w:t>
    </w:r>
    <w:r>
      <w:rPr>
        <w:rFonts w:ascii="Arial Black" w:hAnsi="Arial Black" w:cs="Arial"/>
        <w:b/>
        <w:color w:val="003300"/>
        <w:sz w:val="17"/>
        <w:szCs w:val="17"/>
      </w:rPr>
      <w:t>10</w:t>
    </w:r>
    <w:r w:rsidRPr="0062623D">
      <w:rPr>
        <w:rFonts w:ascii="Arial Black" w:hAnsi="Arial Black" w:cs="Arial"/>
        <w:b/>
        <w:color w:val="003300"/>
        <w:sz w:val="17"/>
        <w:szCs w:val="17"/>
      </w:rPr>
      <w:t xml:space="preserve">, Issue </w:t>
    </w:r>
    <w:r>
      <w:rPr>
        <w:rFonts w:ascii="Arial Black" w:hAnsi="Arial Black" w:cs="Arial"/>
        <w:b/>
        <w:color w:val="003300"/>
        <w:sz w:val="17"/>
        <w:szCs w:val="17"/>
      </w:rPr>
      <w:t>3</w:t>
    </w:r>
    <w:r w:rsidRPr="0062623D">
      <w:rPr>
        <w:rFonts w:ascii="Arial Black" w:hAnsi="Arial Black" w:cs="Arial"/>
        <w:b/>
        <w:color w:val="003300"/>
        <w:sz w:val="17"/>
        <w:szCs w:val="17"/>
      </w:rPr>
      <w:t xml:space="preserve">, </w:t>
    </w:r>
    <w:r>
      <w:rPr>
        <w:rFonts w:ascii="Arial Black" w:hAnsi="Arial Black" w:cs="Arial"/>
        <w:b/>
        <w:color w:val="003300"/>
        <w:sz w:val="17"/>
        <w:szCs w:val="17"/>
      </w:rPr>
      <w:t>May</w:t>
    </w:r>
    <w:r w:rsidRPr="0062623D">
      <w:rPr>
        <w:rFonts w:ascii="Arial Black" w:hAnsi="Arial Black" w:cs="Arial"/>
        <w:b/>
        <w:color w:val="003300"/>
        <w:sz w:val="17"/>
        <w:szCs w:val="17"/>
      </w:rPr>
      <w:t xml:space="preserve">- </w:t>
    </w:r>
    <w:r>
      <w:rPr>
        <w:rFonts w:ascii="Arial Black" w:hAnsi="Arial Black" w:cs="Arial"/>
        <w:b/>
        <w:color w:val="003300"/>
        <w:sz w:val="17"/>
        <w:szCs w:val="17"/>
      </w:rPr>
      <w:t xml:space="preserve">June </w:t>
    </w:r>
    <w:r w:rsidRPr="0062623D">
      <w:rPr>
        <w:rFonts w:ascii="Arial Black" w:hAnsi="Arial Black" w:cs="Arial"/>
        <w:b/>
        <w:color w:val="003300"/>
        <w:sz w:val="17"/>
        <w:szCs w:val="17"/>
      </w:rPr>
      <w:t>20</w:t>
    </w:r>
    <w:r>
      <w:rPr>
        <w:rFonts w:ascii="Arial Black" w:hAnsi="Arial Black" w:cs="Arial"/>
        <w:b/>
        <w:color w:val="003300"/>
        <w:sz w:val="17"/>
        <w:szCs w:val="17"/>
      </w:rPr>
      <w:t>26</w:t>
    </w:r>
    <w:r w:rsidRPr="0062623D">
      <w:rPr>
        <w:rFonts w:ascii="Arial Black" w:hAnsi="Arial Black" w:cs="Arial"/>
        <w:b/>
        <w:color w:val="003300"/>
        <w:sz w:val="17"/>
        <w:szCs w:val="17"/>
      </w:rPr>
      <w:t>|</w:t>
    </w:r>
  </w:p>
  <w:p w:rsidR="006C3B95" w:rsidRPr="0062623D" w:rsidRDefault="006C3B95" w:rsidP="006C3B95">
    <w:pPr>
      <w:spacing w:after="80" w:line="360" w:lineRule="auto"/>
      <w:jc w:val="center"/>
      <w:rPr>
        <w:rFonts w:ascii="Arial Black" w:hAnsi="Arial Black" w:cs="Arial"/>
        <w:b/>
        <w:color w:val="003300"/>
        <w:sz w:val="17"/>
        <w:szCs w:val="17"/>
      </w:rPr>
    </w:pPr>
    <w:r w:rsidRPr="0062623D">
      <w:rPr>
        <w:rFonts w:ascii="Arial Black" w:hAnsi="Arial Black" w:cs="Arial"/>
        <w:b/>
        <w:color w:val="003300"/>
        <w:sz w:val="17"/>
        <w:szCs w:val="17"/>
      </w:rPr>
      <w:t xml:space="preserve">     DOI:10.15680/IRJIE.20</w:t>
    </w:r>
    <w:r>
      <w:rPr>
        <w:rFonts w:ascii="Arial Black" w:hAnsi="Arial Black" w:cs="Arial"/>
        <w:b/>
        <w:color w:val="003300"/>
        <w:sz w:val="17"/>
        <w:szCs w:val="17"/>
      </w:rPr>
      <w:t>26</w:t>
    </w:r>
    <w:r w:rsidRPr="0062623D">
      <w:rPr>
        <w:rFonts w:ascii="Arial Black" w:hAnsi="Arial Black" w:cs="Arial"/>
        <w:b/>
        <w:color w:val="003300"/>
        <w:sz w:val="17"/>
        <w:szCs w:val="17"/>
      </w:rPr>
      <w:t>.</w:t>
    </w:r>
    <w:r>
      <w:rPr>
        <w:rFonts w:ascii="Arial Black" w:hAnsi="Arial Black" w:cs="Arial"/>
        <w:b/>
        <w:color w:val="003300"/>
        <w:sz w:val="17"/>
        <w:szCs w:val="17"/>
      </w:rPr>
      <w:t>10</w:t>
    </w:r>
    <w:r w:rsidRPr="0062623D">
      <w:rPr>
        <w:rFonts w:ascii="Arial Black" w:hAnsi="Arial Black" w:cs="Arial"/>
        <w:b/>
        <w:color w:val="003300"/>
        <w:sz w:val="17"/>
        <w:szCs w:val="17"/>
      </w:rPr>
      <w:t>0</w:t>
    </w:r>
    <w:r>
      <w:rPr>
        <w:rFonts w:ascii="Arial Black" w:hAnsi="Arial Black" w:cs="Arial"/>
        <w:b/>
        <w:color w:val="003300"/>
        <w:sz w:val="17"/>
        <w:szCs w:val="17"/>
      </w:rPr>
      <w:t>3</w:t>
    </w:r>
    <w:r w:rsidRPr="0062623D">
      <w:rPr>
        <w:rFonts w:ascii="Arial Black" w:hAnsi="Arial Black" w:cs="Arial"/>
        <w:b/>
        <w:color w:val="003300"/>
        <w:sz w:val="17"/>
        <w:szCs w:val="17"/>
      </w:rPr>
      <w:t>00</w:t>
    </w:r>
    <w:r>
      <w:rPr>
        <w:rFonts w:ascii="Arial Black" w:hAnsi="Arial Black" w:cs="Arial"/>
        <w:b/>
        <w:color w:val="003300"/>
        <w:sz w:val="17"/>
        <w:szCs w:val="17"/>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37D4"/>
    <w:multiLevelType w:val="hybridMultilevel"/>
    <w:tmpl w:val="FF2847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05D7692"/>
    <w:multiLevelType w:val="hybridMultilevel"/>
    <w:tmpl w:val="2AC659D8"/>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
    <w:nsid w:val="706650A1"/>
    <w:multiLevelType w:val="multilevel"/>
    <w:tmpl w:val="CF243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AD9"/>
    <w:rsid w:val="00035E64"/>
    <w:rsid w:val="00265940"/>
    <w:rsid w:val="002723B6"/>
    <w:rsid w:val="002D1936"/>
    <w:rsid w:val="00340AD9"/>
    <w:rsid w:val="003650B0"/>
    <w:rsid w:val="00370BE5"/>
    <w:rsid w:val="003A4C2E"/>
    <w:rsid w:val="003C536E"/>
    <w:rsid w:val="00484E7A"/>
    <w:rsid w:val="00617531"/>
    <w:rsid w:val="00693D3E"/>
    <w:rsid w:val="006A333D"/>
    <w:rsid w:val="006C3B95"/>
    <w:rsid w:val="006E010D"/>
    <w:rsid w:val="007350B0"/>
    <w:rsid w:val="00846655"/>
    <w:rsid w:val="008D0A47"/>
    <w:rsid w:val="008E1CC3"/>
    <w:rsid w:val="0099773F"/>
    <w:rsid w:val="009F193B"/>
    <w:rsid w:val="009F3C26"/>
    <w:rsid w:val="00A81F46"/>
    <w:rsid w:val="00AF798B"/>
    <w:rsid w:val="00B7111B"/>
    <w:rsid w:val="00C91434"/>
    <w:rsid w:val="00CD20DB"/>
    <w:rsid w:val="00D33C1F"/>
    <w:rsid w:val="00E036BD"/>
    <w:rsid w:val="00E91E52"/>
    <w:rsid w:val="00F6053B"/>
    <w:rsid w:val="00FB0BAE"/>
    <w:rsid w:val="00FE05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B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D1936"/>
    <w:rPr>
      <w:i/>
      <w:iCs/>
    </w:rPr>
  </w:style>
  <w:style w:type="paragraph" w:styleId="ListParagraph">
    <w:name w:val="List Paragraph"/>
    <w:basedOn w:val="Normal"/>
    <w:uiPriority w:val="34"/>
    <w:qFormat/>
    <w:rsid w:val="00CD20DB"/>
    <w:pPr>
      <w:ind w:left="720"/>
      <w:contextualSpacing/>
    </w:pPr>
  </w:style>
  <w:style w:type="character" w:styleId="Strong">
    <w:name w:val="Strong"/>
    <w:basedOn w:val="DefaultParagraphFont"/>
    <w:uiPriority w:val="22"/>
    <w:qFormat/>
    <w:rsid w:val="00484E7A"/>
    <w:rPr>
      <w:b/>
      <w:bCs/>
    </w:rPr>
  </w:style>
  <w:style w:type="character" w:styleId="Hyperlink">
    <w:name w:val="Hyperlink"/>
    <w:basedOn w:val="DefaultParagraphFont"/>
    <w:uiPriority w:val="99"/>
    <w:unhideWhenUsed/>
    <w:rsid w:val="00E036BD"/>
    <w:rPr>
      <w:color w:val="0000FF"/>
      <w:u w:val="single"/>
    </w:rPr>
  </w:style>
  <w:style w:type="paragraph" w:styleId="Header">
    <w:name w:val="header"/>
    <w:basedOn w:val="Normal"/>
    <w:link w:val="HeaderChar"/>
    <w:uiPriority w:val="99"/>
    <w:unhideWhenUsed/>
    <w:rsid w:val="006C3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B95"/>
  </w:style>
  <w:style w:type="paragraph" w:styleId="Footer">
    <w:name w:val="footer"/>
    <w:aliases w:val="Footer Char Char, Char Char Char,Char Char Char"/>
    <w:basedOn w:val="Normal"/>
    <w:link w:val="FooterChar"/>
    <w:uiPriority w:val="99"/>
    <w:unhideWhenUsed/>
    <w:qFormat/>
    <w:rsid w:val="006C3B95"/>
    <w:pPr>
      <w:tabs>
        <w:tab w:val="center" w:pos="4513"/>
        <w:tab w:val="right" w:pos="9026"/>
      </w:tabs>
      <w:spacing w:after="0" w:line="240" w:lineRule="auto"/>
    </w:pPr>
  </w:style>
  <w:style w:type="character" w:customStyle="1" w:styleId="FooterChar">
    <w:name w:val="Footer Char"/>
    <w:aliases w:val="Footer Char Char Char, Char Char Char Char,Char Char Char Char"/>
    <w:basedOn w:val="DefaultParagraphFont"/>
    <w:link w:val="Footer"/>
    <w:uiPriority w:val="99"/>
    <w:qFormat/>
    <w:rsid w:val="006C3B95"/>
  </w:style>
  <w:style w:type="character" w:customStyle="1" w:styleId="Heading1Char">
    <w:name w:val="Heading 1 Char"/>
    <w:basedOn w:val="DefaultParagraphFont"/>
    <w:link w:val="Heading1"/>
    <w:uiPriority w:val="9"/>
    <w:rsid w:val="006C3B9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C3B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B9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C3B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D1936"/>
    <w:rPr>
      <w:i/>
      <w:iCs/>
    </w:rPr>
  </w:style>
  <w:style w:type="paragraph" w:styleId="ListParagraph">
    <w:name w:val="List Paragraph"/>
    <w:basedOn w:val="Normal"/>
    <w:uiPriority w:val="34"/>
    <w:qFormat/>
    <w:rsid w:val="00CD20DB"/>
    <w:pPr>
      <w:ind w:left="720"/>
      <w:contextualSpacing/>
    </w:pPr>
  </w:style>
  <w:style w:type="character" w:styleId="Strong">
    <w:name w:val="Strong"/>
    <w:basedOn w:val="DefaultParagraphFont"/>
    <w:uiPriority w:val="22"/>
    <w:qFormat/>
    <w:rsid w:val="00484E7A"/>
    <w:rPr>
      <w:b/>
      <w:bCs/>
    </w:rPr>
  </w:style>
  <w:style w:type="character" w:styleId="Hyperlink">
    <w:name w:val="Hyperlink"/>
    <w:basedOn w:val="DefaultParagraphFont"/>
    <w:uiPriority w:val="99"/>
    <w:unhideWhenUsed/>
    <w:rsid w:val="00E036BD"/>
    <w:rPr>
      <w:color w:val="0000FF"/>
      <w:u w:val="single"/>
    </w:rPr>
  </w:style>
  <w:style w:type="paragraph" w:styleId="Header">
    <w:name w:val="header"/>
    <w:basedOn w:val="Normal"/>
    <w:link w:val="HeaderChar"/>
    <w:uiPriority w:val="99"/>
    <w:unhideWhenUsed/>
    <w:rsid w:val="006C3B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3B95"/>
  </w:style>
  <w:style w:type="paragraph" w:styleId="Footer">
    <w:name w:val="footer"/>
    <w:aliases w:val="Footer Char Char, Char Char Char,Char Char Char"/>
    <w:basedOn w:val="Normal"/>
    <w:link w:val="FooterChar"/>
    <w:uiPriority w:val="99"/>
    <w:unhideWhenUsed/>
    <w:qFormat/>
    <w:rsid w:val="006C3B95"/>
    <w:pPr>
      <w:tabs>
        <w:tab w:val="center" w:pos="4513"/>
        <w:tab w:val="right" w:pos="9026"/>
      </w:tabs>
      <w:spacing w:after="0" w:line="240" w:lineRule="auto"/>
    </w:pPr>
  </w:style>
  <w:style w:type="character" w:customStyle="1" w:styleId="FooterChar">
    <w:name w:val="Footer Char"/>
    <w:aliases w:val="Footer Char Char Char, Char Char Char Char,Char Char Char Char"/>
    <w:basedOn w:val="DefaultParagraphFont"/>
    <w:link w:val="Footer"/>
    <w:uiPriority w:val="99"/>
    <w:qFormat/>
    <w:rsid w:val="006C3B95"/>
  </w:style>
  <w:style w:type="character" w:customStyle="1" w:styleId="Heading1Char">
    <w:name w:val="Heading 1 Char"/>
    <w:basedOn w:val="DefaultParagraphFont"/>
    <w:link w:val="Heading1"/>
    <w:uiPriority w:val="9"/>
    <w:rsid w:val="006C3B9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C3B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B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82006">
      <w:bodyDiv w:val="1"/>
      <w:marLeft w:val="0"/>
      <w:marRight w:val="0"/>
      <w:marTop w:val="0"/>
      <w:marBottom w:val="0"/>
      <w:divBdr>
        <w:top w:val="none" w:sz="0" w:space="0" w:color="auto"/>
        <w:left w:val="none" w:sz="0" w:space="0" w:color="auto"/>
        <w:bottom w:val="none" w:sz="0" w:space="0" w:color="auto"/>
        <w:right w:val="none" w:sz="0" w:space="0" w:color="auto"/>
      </w:divBdr>
      <w:divsChild>
        <w:div w:id="1663896830">
          <w:marLeft w:val="0"/>
          <w:marRight w:val="0"/>
          <w:marTop w:val="0"/>
          <w:marBottom w:val="0"/>
          <w:divBdr>
            <w:top w:val="none" w:sz="0" w:space="0" w:color="auto"/>
            <w:left w:val="none" w:sz="0" w:space="0" w:color="auto"/>
            <w:bottom w:val="none" w:sz="0" w:space="0" w:color="auto"/>
            <w:right w:val="none" w:sz="0" w:space="0" w:color="auto"/>
          </w:divBdr>
        </w:div>
        <w:div w:id="1907296960">
          <w:marLeft w:val="0"/>
          <w:marRight w:val="0"/>
          <w:marTop w:val="0"/>
          <w:marBottom w:val="0"/>
          <w:divBdr>
            <w:top w:val="none" w:sz="0" w:space="0" w:color="auto"/>
            <w:left w:val="none" w:sz="0" w:space="0" w:color="auto"/>
            <w:bottom w:val="none" w:sz="0" w:space="0" w:color="auto"/>
            <w:right w:val="none" w:sz="0" w:space="0" w:color="auto"/>
          </w:divBdr>
        </w:div>
      </w:divsChild>
    </w:div>
    <w:div w:id="394745484">
      <w:bodyDiv w:val="1"/>
      <w:marLeft w:val="0"/>
      <w:marRight w:val="0"/>
      <w:marTop w:val="0"/>
      <w:marBottom w:val="0"/>
      <w:divBdr>
        <w:top w:val="none" w:sz="0" w:space="0" w:color="auto"/>
        <w:left w:val="none" w:sz="0" w:space="0" w:color="auto"/>
        <w:bottom w:val="none" w:sz="0" w:space="0" w:color="auto"/>
        <w:right w:val="none" w:sz="0" w:space="0" w:color="auto"/>
      </w:divBdr>
    </w:div>
    <w:div w:id="548617125">
      <w:bodyDiv w:val="1"/>
      <w:marLeft w:val="0"/>
      <w:marRight w:val="0"/>
      <w:marTop w:val="0"/>
      <w:marBottom w:val="0"/>
      <w:divBdr>
        <w:top w:val="none" w:sz="0" w:space="0" w:color="auto"/>
        <w:left w:val="none" w:sz="0" w:space="0" w:color="auto"/>
        <w:bottom w:val="none" w:sz="0" w:space="0" w:color="auto"/>
        <w:right w:val="none" w:sz="0" w:space="0" w:color="auto"/>
      </w:divBdr>
    </w:div>
    <w:div w:id="708649233">
      <w:bodyDiv w:val="1"/>
      <w:marLeft w:val="0"/>
      <w:marRight w:val="0"/>
      <w:marTop w:val="0"/>
      <w:marBottom w:val="0"/>
      <w:divBdr>
        <w:top w:val="none" w:sz="0" w:space="0" w:color="auto"/>
        <w:left w:val="none" w:sz="0" w:space="0" w:color="auto"/>
        <w:bottom w:val="none" w:sz="0" w:space="0" w:color="auto"/>
        <w:right w:val="none" w:sz="0" w:space="0" w:color="auto"/>
      </w:divBdr>
    </w:div>
    <w:div w:id="737478246">
      <w:bodyDiv w:val="1"/>
      <w:marLeft w:val="0"/>
      <w:marRight w:val="0"/>
      <w:marTop w:val="0"/>
      <w:marBottom w:val="0"/>
      <w:divBdr>
        <w:top w:val="none" w:sz="0" w:space="0" w:color="auto"/>
        <w:left w:val="none" w:sz="0" w:space="0" w:color="auto"/>
        <w:bottom w:val="none" w:sz="0" w:space="0" w:color="auto"/>
        <w:right w:val="none" w:sz="0" w:space="0" w:color="auto"/>
      </w:divBdr>
    </w:div>
    <w:div w:id="1138378860">
      <w:bodyDiv w:val="1"/>
      <w:marLeft w:val="0"/>
      <w:marRight w:val="0"/>
      <w:marTop w:val="0"/>
      <w:marBottom w:val="0"/>
      <w:divBdr>
        <w:top w:val="none" w:sz="0" w:space="0" w:color="auto"/>
        <w:left w:val="none" w:sz="0" w:space="0" w:color="auto"/>
        <w:bottom w:val="none" w:sz="0" w:space="0" w:color="auto"/>
        <w:right w:val="none" w:sz="0" w:space="0" w:color="auto"/>
      </w:divBdr>
      <w:divsChild>
        <w:div w:id="1199197605">
          <w:marLeft w:val="0"/>
          <w:marRight w:val="0"/>
          <w:marTop w:val="0"/>
          <w:marBottom w:val="0"/>
          <w:divBdr>
            <w:top w:val="none" w:sz="0" w:space="0" w:color="auto"/>
            <w:left w:val="none" w:sz="0" w:space="0" w:color="auto"/>
            <w:bottom w:val="none" w:sz="0" w:space="0" w:color="auto"/>
            <w:right w:val="none" w:sz="0" w:space="0" w:color="auto"/>
          </w:divBdr>
          <w:divsChild>
            <w:div w:id="1206068632">
              <w:marLeft w:val="0"/>
              <w:marRight w:val="0"/>
              <w:marTop w:val="0"/>
              <w:marBottom w:val="0"/>
              <w:divBdr>
                <w:top w:val="none" w:sz="0" w:space="0" w:color="auto"/>
                <w:left w:val="none" w:sz="0" w:space="0" w:color="auto"/>
                <w:bottom w:val="none" w:sz="0" w:space="0" w:color="auto"/>
                <w:right w:val="none" w:sz="0" w:space="0" w:color="auto"/>
              </w:divBdr>
              <w:divsChild>
                <w:div w:id="1965379898">
                  <w:marLeft w:val="0"/>
                  <w:marRight w:val="0"/>
                  <w:marTop w:val="0"/>
                  <w:marBottom w:val="0"/>
                  <w:divBdr>
                    <w:top w:val="none" w:sz="0" w:space="0" w:color="auto"/>
                    <w:left w:val="none" w:sz="0" w:space="0" w:color="auto"/>
                    <w:bottom w:val="none" w:sz="0" w:space="0" w:color="auto"/>
                    <w:right w:val="none" w:sz="0" w:space="0" w:color="auto"/>
                  </w:divBdr>
                  <w:divsChild>
                    <w:div w:id="15710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2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7/s10462-024-10756-9"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editor@ijrai.com" TargetMode="External"/><Relationship Id="rId2" Type="http://schemas.openxmlformats.org/officeDocument/2006/relationships/hyperlink" Target="http://www.ijrai.com"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6504</Words>
  <Characters>37075</Characters>
  <Application>Microsoft Office Word</Application>
  <DocSecurity>0</DocSecurity>
  <Lines>308</Lines>
  <Paragraphs>86</Paragraphs>
  <ScaleCrop>false</ScaleCrop>
  <Company/>
  <LinksUpToDate>false</LinksUpToDate>
  <CharactersWithSpaces>43493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Sugumar</dc:creator>
  <cp:keywords/>
  <dc:description/>
  <cp:lastModifiedBy>admin</cp:lastModifiedBy>
  <cp:revision>39</cp:revision>
  <dcterms:created xsi:type="dcterms:W3CDTF">2026-09-25T04:23:00Z</dcterms:created>
  <dcterms:modified xsi:type="dcterms:W3CDTF">2026-09-26T06:47:00Z</dcterms:modified>
</cp:coreProperties>
</file>